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pPr w:leftFromText="187" w:rightFromText="187" w:horzAnchor="margin" w:tblpXSpec="center" w:tblpY="2881"/>
        <w:tblW w:w="4000" w:type="pct"/>
        <w:tblInd w:w="0" w:type="dxa"/>
        <w:tblBorders>
          <w:top w:val="none" w:color="auto" w:sz="0" w:space="0"/>
          <w:left w:val="single" w:color="4F81BD" w:sz="18"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72"/>
      </w:tblGrid>
      <w:tr>
        <w:tblPrEx>
          <w:tblBorders>
            <w:top w:val="none" w:color="auto" w:sz="0" w:space="0"/>
            <w:left w:val="single" w:color="4F81BD" w:sz="18"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72" w:type="dxa"/>
            <w:noWrap/>
            <w:tcMar>
              <w:top w:w="216" w:type="dxa"/>
              <w:left w:w="115" w:type="dxa"/>
              <w:bottom w:w="216" w:type="dxa"/>
              <w:right w:w="115" w:type="dxa"/>
            </w:tcMar>
          </w:tcPr>
          <w:p>
            <w:pPr>
              <w:pStyle w:val="23"/>
              <w:jc w:val="center"/>
              <w:rPr>
                <w:rFonts w:ascii="Cambria" w:hAnsi="Cambria"/>
                <w:color w:val="000000"/>
                <w:lang w:val="id-ID"/>
              </w:rPr>
            </w:pPr>
            <w:r>
              <w:rPr>
                <w:rFonts w:ascii="Cambria" w:hAnsi="Cambria"/>
                <w:color w:val="000000"/>
                <w:lang w:val="id-ID"/>
              </w:rPr>
              <w:t>BADAN KEUANGAN DAERAH</w:t>
            </w:r>
          </w:p>
          <w:p>
            <w:pPr>
              <w:pStyle w:val="23"/>
              <w:jc w:val="center"/>
              <w:rPr>
                <w:rFonts w:ascii="Cambria" w:hAnsi="Cambria"/>
                <w:color w:val="000000"/>
              </w:rPr>
            </w:pPr>
            <w:r>
              <w:rPr>
                <w:rFonts w:ascii="Cambria" w:hAnsi="Cambria"/>
                <w:color w:val="000000"/>
                <w:lang w:val="id-ID"/>
              </w:rPr>
              <w:t>PROVINSI SUMATERA BARAT</w:t>
            </w:r>
          </w:p>
        </w:tc>
      </w:tr>
      <w:tr>
        <w:tblPrEx>
          <w:tblBorders>
            <w:top w:val="none" w:color="auto" w:sz="0" w:space="0"/>
            <w:left w:val="single" w:color="4F81BD" w:sz="18"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72" w:type="dxa"/>
            <w:noWrap/>
          </w:tcPr>
          <w:p>
            <w:pPr>
              <w:pStyle w:val="23"/>
              <w:rPr>
                <w:rFonts w:ascii="Cambria" w:hAnsi="Cambria"/>
                <w:color w:val="000000"/>
                <w:sz w:val="80"/>
                <w:szCs w:val="80"/>
              </w:rPr>
            </w:pPr>
            <w:r>
              <w:rPr>
                <w:rFonts w:ascii="Cambria" w:hAnsi="Cambria"/>
                <w:color w:val="000000"/>
                <w:sz w:val="80"/>
                <w:szCs w:val="80"/>
              </w:rPr>
              <w:t>LAPORAN KINERJA INSTANSI PEMERINTAH 2020</w:t>
            </w:r>
          </w:p>
        </w:tc>
      </w:tr>
      <w:tr>
        <w:tblPrEx>
          <w:tblBorders>
            <w:top w:val="none" w:color="auto" w:sz="0" w:space="0"/>
            <w:left w:val="single" w:color="4F81BD" w:sz="18" w:space="0"/>
            <w:bottom w:val="none" w:color="auto" w:sz="0" w:space="0"/>
            <w:right w:val="none" w:color="auto" w:sz="0" w:space="0"/>
            <w:insideH w:val="none" w:color="auto" w:sz="0" w:space="0"/>
            <w:insideV w:val="none" w:color="auto" w:sz="0" w:space="0"/>
          </w:tblBorders>
        </w:tblPrEx>
        <w:tc>
          <w:tcPr>
            <w:tcW w:w="7672" w:type="dxa"/>
            <w:noWrap/>
            <w:tcMar>
              <w:top w:w="216" w:type="dxa"/>
              <w:left w:w="115" w:type="dxa"/>
              <w:bottom w:w="216" w:type="dxa"/>
              <w:right w:w="115" w:type="dxa"/>
            </w:tcMar>
          </w:tcPr>
          <w:p>
            <w:pPr>
              <w:pStyle w:val="23"/>
              <w:rPr>
                <w:rFonts w:ascii="Cambria" w:hAnsi="Cambria"/>
                <w:color w:val="000000"/>
                <w:sz w:val="28"/>
                <w:szCs w:val="28"/>
                <w:lang w:val="id-ID"/>
              </w:rPr>
            </w:pPr>
          </w:p>
        </w:tc>
      </w:tr>
    </w:tbl>
    <w:p>
      <w:pPr>
        <w:rPr>
          <w:color w:val="000000"/>
        </w:rPr>
      </w:pPr>
      <w:r>
        <w:rPr>
          <w:color w:val="000000"/>
          <w:lang w:val="id-ID" w:eastAsia="id-ID"/>
        </w:rPr>
        <mc:AlternateContent>
          <mc:Choice Requires="wps">
            <w:drawing>
              <wp:anchor distT="0" distB="0" distL="114300" distR="114300" simplePos="0" relativeHeight="251749376" behindDoc="0" locked="0" layoutInCell="1" allowOverlap="1">
                <wp:simplePos x="0" y="0"/>
                <wp:positionH relativeFrom="column">
                  <wp:posOffset>719455</wp:posOffset>
                </wp:positionH>
                <wp:positionV relativeFrom="paragraph">
                  <wp:posOffset>-433705</wp:posOffset>
                </wp:positionV>
                <wp:extent cx="90805" cy="1358900"/>
                <wp:effectExtent l="4445" t="4445" r="19050" b="8255"/>
                <wp:wrapNone/>
                <wp:docPr id="100" name="Rectangles 81"/>
                <wp:cNvGraphicFramePr/>
                <a:graphic xmlns:a="http://schemas.openxmlformats.org/drawingml/2006/main">
                  <a:graphicData uri="http://schemas.microsoft.com/office/word/2010/wordprocessingShape">
                    <wps:wsp>
                      <wps:cNvSpPr/>
                      <wps:spPr>
                        <a:xfrm>
                          <a:off x="0" y="0"/>
                          <a:ext cx="90805" cy="13589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Rectangles 81" o:spid="_x0000_s1026" o:spt="1" style="position:absolute;left:0pt;margin-left:56.65pt;margin-top:-34.15pt;height:107pt;width:7.15pt;z-index:251749376;mso-width-relative:page;mso-height-relative:page;" fillcolor="#FFFFFF" filled="t" stroked="t" coordsize="21600,21600" o:gfxdata="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TPeudkAAAALAQAADwAAAAAAAAABACAAAAAiAAAAZHJzL2Rvd25yZXYueG1sUEsB&#10;AhQAFAAAAAgAh07iQAUkHe/0AQAAMgQAAA4AAAAAAAAAAQAgAAAAKAEAAGRycy9lMm9Eb2MueG1s&#10;UEsFBgAAAAAGAAYAWQEAAI4FAAAAAA==&#10;">
                <v:fill on="t" focussize="0,0"/>
                <v:stroke color="#000000" joinstyle="miter"/>
                <v:imagedata o:title=""/>
                <o:lock v:ext="edit" aspectratio="f"/>
              </v:rect>
            </w:pict>
          </mc:Fallback>
        </mc:AlternateContent>
      </w:r>
      <w:r>
        <w:rPr>
          <w:color w:val="000000"/>
          <w:lang w:val="id-ID" w:eastAsia="id-ID"/>
        </w:rPr>
        <mc:AlternateContent>
          <mc:Choice Requires="wps">
            <w:drawing>
              <wp:anchor distT="0" distB="0" distL="114300" distR="114300" simplePos="0" relativeHeight="251750400" behindDoc="0" locked="0" layoutInCell="1" allowOverlap="1">
                <wp:simplePos x="0" y="0"/>
                <wp:positionH relativeFrom="column">
                  <wp:posOffset>858520</wp:posOffset>
                </wp:positionH>
                <wp:positionV relativeFrom="paragraph">
                  <wp:posOffset>-424180</wp:posOffset>
                </wp:positionV>
                <wp:extent cx="90805" cy="1358900"/>
                <wp:effectExtent l="4445" t="4445" r="19050" b="8255"/>
                <wp:wrapNone/>
                <wp:docPr id="103" name="Rectangles 11"/>
                <wp:cNvGraphicFramePr/>
                <a:graphic xmlns:a="http://schemas.openxmlformats.org/drawingml/2006/main">
                  <a:graphicData uri="http://schemas.microsoft.com/office/word/2010/wordprocessingShape">
                    <wps:wsp>
                      <wps:cNvSpPr/>
                      <wps:spPr>
                        <a:xfrm>
                          <a:off x="0" y="0"/>
                          <a:ext cx="90805" cy="13589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Rectangles 11" o:spid="_x0000_s1026" o:spt="1" style="position:absolute;left:0pt;margin-left:67.6pt;margin-top:-33.4pt;height:107pt;width:7.15pt;z-index:251750400;mso-width-relative:page;mso-height-relative:page;" fillcolor="#FFFFFF" filled="t" stroked="t" coordsize="21600,21600" o:gfxdata="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YcA+9gAAAALAQAADwAAAAAAAAABACAAAAAiAAAAZHJzL2Rvd25yZXYueG1s&#10;UEsBAhQAFAAAAAgAh07iQNK4/WD4AQAAMgQAAA4AAAAAAAAAAQAgAAAAJwEAAGRycy9lMm9Eb2Mu&#10;eG1sUEsFBgAAAAAGAAYAWQEAAJEFAAAAAA==&#10;">
                <v:fill on="t" focussize="0,0"/>
                <v:stroke color="#000000" joinstyle="miter"/>
                <v:imagedata o:title=""/>
                <o:lock v:ext="edit" aspectratio="f"/>
              </v:rect>
            </w:pict>
          </mc:Fallback>
        </mc:AlternateContent>
      </w:r>
      <w:r>
        <w:rPr>
          <w:color w:val="000000"/>
          <w:lang w:val="id-ID" w:eastAsia="id-ID"/>
        </w:rPr>
        <mc:AlternateContent>
          <mc:Choice Requires="wps">
            <w:drawing>
              <wp:anchor distT="0" distB="0" distL="114300" distR="114300" simplePos="0" relativeHeight="251752448" behindDoc="0" locked="0" layoutInCell="1" allowOverlap="1">
                <wp:simplePos x="0" y="0"/>
                <wp:positionH relativeFrom="column">
                  <wp:posOffset>1140460</wp:posOffset>
                </wp:positionH>
                <wp:positionV relativeFrom="paragraph">
                  <wp:posOffset>-433705</wp:posOffset>
                </wp:positionV>
                <wp:extent cx="90805" cy="1358900"/>
                <wp:effectExtent l="4445" t="4445" r="19050" b="8255"/>
                <wp:wrapNone/>
                <wp:docPr id="104" name="Rectangles 99"/>
                <wp:cNvGraphicFramePr/>
                <a:graphic xmlns:a="http://schemas.openxmlformats.org/drawingml/2006/main">
                  <a:graphicData uri="http://schemas.microsoft.com/office/word/2010/wordprocessingShape">
                    <wps:wsp>
                      <wps:cNvSpPr/>
                      <wps:spPr>
                        <a:xfrm>
                          <a:off x="0" y="0"/>
                          <a:ext cx="90805" cy="13589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Rectangles 99" o:spid="_x0000_s1026" o:spt="1" style="position:absolute;left:0pt;margin-left:89.8pt;margin-top:-34.15pt;height:107pt;width:7.15pt;z-index:251752448;mso-width-relative:page;mso-height-relative:page;" fillcolor="#FFFFFF" filled="t" stroked="t" coordsize="21600,21600" o:gfxdata="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CpI2LZAAAACwEAAA8AAAAAAAAAAQAgAAAAIgAAAGRycy9kb3ducmV2Lnht&#10;bFBLAQIUABQAAAAIAIdO4kABY5Fs+AEAADIEAAAOAAAAAAAAAAEAIAAAACgBAABkcnMvZTJvRG9j&#10;LnhtbFBLBQYAAAAABgAGAFkBAACSBQAAAAA=&#10;">
                <v:fill on="t" focussize="0,0"/>
                <v:stroke color="#000000" joinstyle="miter"/>
                <v:imagedata o:title=""/>
                <o:lock v:ext="edit" aspectratio="f"/>
              </v:rect>
            </w:pict>
          </mc:Fallback>
        </mc:AlternateContent>
      </w:r>
      <w:r>
        <w:rPr>
          <w:color w:val="000000"/>
          <w:lang w:val="id-ID" w:eastAsia="id-ID"/>
        </w:rPr>
        <mc:AlternateContent>
          <mc:Choice Requires="wps">
            <w:drawing>
              <wp:anchor distT="0" distB="0" distL="114300" distR="114300" simplePos="0" relativeHeight="251751424" behindDoc="0" locked="0" layoutInCell="1" allowOverlap="1">
                <wp:simplePos x="0" y="0"/>
                <wp:positionH relativeFrom="column">
                  <wp:posOffset>1010920</wp:posOffset>
                </wp:positionH>
                <wp:positionV relativeFrom="paragraph">
                  <wp:posOffset>-433705</wp:posOffset>
                </wp:positionV>
                <wp:extent cx="90805" cy="1358900"/>
                <wp:effectExtent l="4445" t="4445" r="19050" b="8255"/>
                <wp:wrapNone/>
                <wp:docPr id="12" name="Rectangles 12"/>
                <wp:cNvGraphicFramePr/>
                <a:graphic xmlns:a="http://schemas.openxmlformats.org/drawingml/2006/main">
                  <a:graphicData uri="http://schemas.microsoft.com/office/word/2010/wordprocessingShape">
                    <wps:wsp>
                      <wps:cNvSpPr/>
                      <wps:spPr>
                        <a:xfrm>
                          <a:off x="0" y="0"/>
                          <a:ext cx="90805" cy="13589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79.6pt;margin-top:-34.15pt;height:107pt;width:7.15pt;z-index:251751424;mso-width-relative:page;mso-height-relative:page;" fillcolor="#FFFFFF" filled="t" stroked="t" coordsize="21600,21600" o:gfxdata="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FBbh9oAAAALAQAADwAAAAAAAAABACAAAAAiAAAAZHJzL2Rvd25yZXYueG1s&#10;UEsBAhQAFAAAAAgAh07iQMipguf2AQAAMQQAAA4AAAAAAAAAAQAgAAAAKQEAAGRycy9lMm9Eb2Mu&#10;eG1sUEsFBgAAAAAGAAYAWQEAAJEFAAAAAA==&#10;">
                <v:fill on="t" focussize="0,0"/>
                <v:stroke color="#000000" joinstyle="miter"/>
                <v:imagedata o:title=""/>
                <o:lock v:ext="edit" aspectratio="f"/>
              </v:rect>
            </w:pict>
          </mc:Fallback>
        </mc:AlternateContent>
      </w:r>
      <w:r>
        <w:rPr>
          <w:color w:val="000000"/>
          <w:lang w:val="id-ID" w:eastAsia="id-ID"/>
        </w:rPr>
        <mc:AlternateContent>
          <mc:Choice Requires="wps">
            <w:drawing>
              <wp:anchor distT="0" distB="0" distL="114300" distR="114300" simplePos="0" relativeHeight="251753472" behindDoc="0" locked="0" layoutInCell="1" allowOverlap="1">
                <wp:simplePos x="0" y="0"/>
                <wp:positionH relativeFrom="column">
                  <wp:posOffset>1292860</wp:posOffset>
                </wp:positionH>
                <wp:positionV relativeFrom="paragraph">
                  <wp:posOffset>-432435</wp:posOffset>
                </wp:positionV>
                <wp:extent cx="90805" cy="1358900"/>
                <wp:effectExtent l="4445" t="4445" r="19050" b="8255"/>
                <wp:wrapNone/>
                <wp:docPr id="105" name="Rectangles 93"/>
                <wp:cNvGraphicFramePr/>
                <a:graphic xmlns:a="http://schemas.openxmlformats.org/drawingml/2006/main">
                  <a:graphicData uri="http://schemas.microsoft.com/office/word/2010/wordprocessingShape">
                    <wps:wsp>
                      <wps:cNvSpPr/>
                      <wps:spPr>
                        <a:xfrm>
                          <a:off x="0" y="0"/>
                          <a:ext cx="90805" cy="13589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Rectangles 93" o:spid="_x0000_s1026" o:spt="1" style="position:absolute;left:0pt;margin-left:101.8pt;margin-top:-34.05pt;height:107pt;width:7.15pt;z-index:251753472;mso-width-relative:page;mso-height-relative:page;" fillcolor="#FFFFFF" filled="t" stroked="t" coordsize="21600,21600" o:gfxdata="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mKrhdkAAAALAQAADwAAAAAAAAABACAAAAAiAAAAZHJzL2Rvd25yZXYueG1s&#10;UEsBAhQAFAAAAAgAh07iQMCSonn3AQAAMgQAAA4AAAAAAAAAAQAgAAAAKAEAAGRycy9lMm9Eb2Mu&#10;eG1sUEsFBgAAAAAGAAYAWQEAAJEFAAAAAA==&#10;">
                <v:fill on="t" focussize="0,0"/>
                <v:stroke color="#000000" joinstyle="miter"/>
                <v:imagedata o:title=""/>
                <o:lock v:ext="edit" aspectratio="f"/>
              </v:rect>
            </w:pict>
          </mc:Fallback>
        </mc:AlternateContent>
      </w:r>
      <w:r>
        <w:rPr>
          <w:color w:val="000000"/>
          <w:lang w:val="id-ID" w:eastAsia="id-ID"/>
        </w:rPr>
        <mc:AlternateContent>
          <mc:Choice Requires="wps">
            <w:drawing>
              <wp:anchor distT="0" distB="0" distL="114300" distR="114300" simplePos="0" relativeHeight="251748352" behindDoc="0" locked="0" layoutInCell="1" allowOverlap="1">
                <wp:simplePos x="0" y="0"/>
                <wp:positionH relativeFrom="column">
                  <wp:posOffset>567055</wp:posOffset>
                </wp:positionH>
                <wp:positionV relativeFrom="paragraph">
                  <wp:posOffset>-424180</wp:posOffset>
                </wp:positionV>
                <wp:extent cx="90805" cy="1358900"/>
                <wp:effectExtent l="4445" t="4445" r="19050" b="8255"/>
                <wp:wrapNone/>
                <wp:docPr id="14" name="Rectangles 14"/>
                <wp:cNvGraphicFramePr/>
                <a:graphic xmlns:a="http://schemas.openxmlformats.org/drawingml/2006/main">
                  <a:graphicData uri="http://schemas.microsoft.com/office/word/2010/wordprocessingShape">
                    <wps:wsp>
                      <wps:cNvSpPr/>
                      <wps:spPr>
                        <a:xfrm>
                          <a:off x="0" y="0"/>
                          <a:ext cx="90805" cy="13589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44.65pt;margin-top:-33.4pt;height:107pt;width:7.15pt;z-index:251748352;mso-width-relative:page;mso-height-relative:page;" fillcolor="#FFFFFF" filled="t" stroked="t" coordsize="21600,21600" o:gfxdata="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Qx4Y2AAAAAoBAAAPAAAAAAAAAAEAIAAAACIAAABkcnMvZG93bnJldi54bWxQ&#10;SwECFAAUAAAACACHTuJA75bSLfcBAAAxBAAADgAAAAAAAAABACAAAAAnAQAAZHJzL2Uyb0RvYy54&#10;bWxQSwUGAAAAAAYABgBZAQAAkAUAAAAA&#10;">
                <v:fill on="t" focussize="0,0"/>
                <v:stroke color="#000000" joinstyle="miter"/>
                <v:imagedata o:title=""/>
                <o:lock v:ext="edit" aspectratio="f"/>
              </v:rect>
            </w:pict>
          </mc:Fallback>
        </mc:AlternateContent>
      </w:r>
      <w:r>
        <w:rPr>
          <w:color w:val="000000"/>
          <w:lang w:val="id-ID" w:eastAsia="id-ID"/>
        </w:rPr>
        <mc:AlternateContent>
          <mc:Choice Requires="wps">
            <w:drawing>
              <wp:anchor distT="0" distB="0" distL="114300" distR="114300" simplePos="0" relativeHeight="251747328" behindDoc="0" locked="0" layoutInCell="1" allowOverlap="1">
                <wp:simplePos x="0" y="0"/>
                <wp:positionH relativeFrom="column">
                  <wp:posOffset>437515</wp:posOffset>
                </wp:positionH>
                <wp:positionV relativeFrom="paragraph">
                  <wp:posOffset>-424180</wp:posOffset>
                </wp:positionV>
                <wp:extent cx="90805" cy="1358900"/>
                <wp:effectExtent l="4445" t="4445" r="19050" b="8255"/>
                <wp:wrapNone/>
                <wp:docPr id="15" name="Rectangles 15"/>
                <wp:cNvGraphicFramePr/>
                <a:graphic xmlns:a="http://schemas.openxmlformats.org/drawingml/2006/main">
                  <a:graphicData uri="http://schemas.microsoft.com/office/word/2010/wordprocessingShape">
                    <wps:wsp>
                      <wps:cNvSpPr/>
                      <wps:spPr>
                        <a:xfrm>
                          <a:off x="0" y="0"/>
                          <a:ext cx="90805" cy="13589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34.45pt;margin-top:-33.4pt;height:107pt;width:7.15pt;z-index:251747328;mso-width-relative:page;mso-height-relative:page;" fillcolor="#FFFFFF" filled="t" stroked="t" coordsize="21600,21600" o:gfxdata="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lqmgrYAAAACQEAAA8AAAAAAAAAAQAgAAAAIgAAAGRycy9kb3ducmV2LnhtbFBL&#10;AQIUABQAAAAIAIdO4kBBH3Lj9gEAADEEAAAOAAAAAAAAAAEAIAAAACcBAABkcnMvZTJvRG9jLnht&#10;bFBLBQYAAAAABgAGAFkBAACPBQAAAAA=&#10;">
                <v:fill on="t" focussize="0,0"/>
                <v:stroke color="#000000" joinstyle="miter"/>
                <v:imagedata o:title=""/>
                <o:lock v:ext="edit" aspectratio="f"/>
              </v:rect>
            </w:pict>
          </mc:Fallback>
        </mc:AlternateContent>
      </w:r>
      <w:r>
        <w:rPr>
          <w:color w:val="000000"/>
          <w:lang w:val="id-ID" w:eastAsia="id-ID"/>
        </w:rPr>
        <mc:AlternateContent>
          <mc:Choice Requires="wps">
            <w:drawing>
              <wp:anchor distT="0" distB="0" distL="114300" distR="114300" simplePos="0" relativeHeight="251746304" behindDoc="0" locked="0" layoutInCell="1" allowOverlap="1">
                <wp:simplePos x="0" y="0"/>
                <wp:positionH relativeFrom="column">
                  <wp:posOffset>285115</wp:posOffset>
                </wp:positionH>
                <wp:positionV relativeFrom="paragraph">
                  <wp:posOffset>-425450</wp:posOffset>
                </wp:positionV>
                <wp:extent cx="90805" cy="1358900"/>
                <wp:effectExtent l="4445" t="4445" r="19050" b="8255"/>
                <wp:wrapNone/>
                <wp:docPr id="99" name="Rectangles 89"/>
                <wp:cNvGraphicFramePr/>
                <a:graphic xmlns:a="http://schemas.openxmlformats.org/drawingml/2006/main">
                  <a:graphicData uri="http://schemas.microsoft.com/office/word/2010/wordprocessingShape">
                    <wps:wsp>
                      <wps:cNvSpPr/>
                      <wps:spPr>
                        <a:xfrm>
                          <a:off x="0" y="0"/>
                          <a:ext cx="90805" cy="135890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Rectangles 89" o:spid="_x0000_s1026" o:spt="1" style="position:absolute;left:0pt;margin-left:22.45pt;margin-top:-33.5pt;height:107pt;width:7.15pt;z-index:251746304;mso-width-relative:page;mso-height-relative:page;" fillcolor="#FFFFFF" filled="t" stroked="t" coordsize="21600,21600" o:gfxdata="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diM63XAAAACQEAAA8AAAAAAAAAAQAgAAAAIgAAAGRycy9kb3ducmV2LnhtbFBL&#10;AQIUABQAAAAIAIdO4kCzCUoQ9wEAADEEAAAOAAAAAAAAAAEAIAAAACYBAABkcnMvZTJvRG9jLnht&#10;bFBLBQYAAAAABgAGAFkBAACPBQAAAAA=&#10;">
                <v:fill on="t" focussize="0,0"/>
                <v:stroke color="#000000" joinstyle="miter"/>
                <v:imagedata o:title=""/>
                <o:lock v:ext="edit" aspectratio="f"/>
              </v:rect>
            </w:pict>
          </mc:Fallback>
        </mc:AlternateContent>
      </w:r>
      <w:r>
        <w:rPr>
          <w:color w:val="000000"/>
          <w:lang w:val="id-ID" w:eastAsia="zh-TW"/>
        </w:rPr>
        <mc:AlternateContent>
          <mc:Choice Requires="wps">
            <w:drawing>
              <wp:anchor distT="0" distB="0" distL="114300" distR="114300" simplePos="0" relativeHeight="251742208" behindDoc="0" locked="0" layoutInCell="1" allowOverlap="1">
                <wp:simplePos x="0" y="0"/>
                <wp:positionH relativeFrom="column">
                  <wp:posOffset>4864735</wp:posOffset>
                </wp:positionH>
                <wp:positionV relativeFrom="paragraph">
                  <wp:posOffset>-295910</wp:posOffset>
                </wp:positionV>
                <wp:extent cx="1009650" cy="1116330"/>
                <wp:effectExtent l="4445" t="4445" r="14605" b="22225"/>
                <wp:wrapNone/>
                <wp:docPr id="101" name="Text Box 101"/>
                <wp:cNvGraphicFramePr/>
                <a:graphic xmlns:a="http://schemas.openxmlformats.org/drawingml/2006/main">
                  <a:graphicData uri="http://schemas.microsoft.com/office/word/2010/wordprocessingShape">
                    <wps:wsp>
                      <wps:cNvSpPr txBox="1"/>
                      <wps:spPr>
                        <a:xfrm>
                          <a:off x="0" y="0"/>
                          <a:ext cx="1009650" cy="111633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rPr>
                                <w:lang w:val="id-ID" w:eastAsia="id-ID"/>
                              </w:rPr>
                              <w:drawing>
                                <wp:inline distT="0" distB="0" distL="114300" distR="114300">
                                  <wp:extent cx="807720" cy="1024255"/>
                                  <wp:effectExtent l="0" t="0" r="11430" b="4445"/>
                                  <wp:docPr id="56" name="Picture 1" desc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 descr="TS"/>
                                          <pic:cNvPicPr>
                                            <a:picLocks noChangeAspect="1"/>
                                          </pic:cNvPicPr>
                                        </pic:nvPicPr>
                                        <pic:blipFill>
                                          <a:blip r:embed="rId23"/>
                                          <a:stretch>
                                            <a:fillRect/>
                                          </a:stretch>
                                        </pic:blipFill>
                                        <pic:spPr>
                                          <a:xfrm>
                                            <a:off x="0" y="0"/>
                                            <a:ext cx="807720" cy="1024255"/>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383.05pt;margin-top:-23.3pt;height:87.9pt;width:79.5pt;z-index:251742208;mso-width-relative:page;mso-height-relative:page;" fillcolor="#FFFFFF" filled="t" stroked="t" coordsize="21600,21600" o:gfxdata="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MUYQNkAAAALAQAADwAAAAAAAAABACAAAAAiAAAAZHJzL2Rv&#10;d25yZXYueG1sUEsBAhQAFAAAAAgAh07iQKRe7/cAAgAASAQAAA4AAAAAAAAAAQAgAAAAKAEAAGRy&#10;cy9lMm9Eb2MueG1sUEsFBgAAAAAGAAYAWQEAAJoFAAAAAA==&#10;">
                <v:fill on="t" focussize="0,0"/>
                <v:stroke color="#FFFFFF" joinstyle="miter"/>
                <v:imagedata o:title=""/>
                <o:lock v:ext="edit" aspectratio="f"/>
                <v:textbox>
                  <w:txbxContent>
                    <w:p>
                      <w:r>
                        <w:rPr>
                          <w:lang w:val="id-ID" w:eastAsia="id-ID"/>
                        </w:rPr>
                        <w:drawing>
                          <wp:inline distT="0" distB="0" distL="114300" distR="114300">
                            <wp:extent cx="807720" cy="1024255"/>
                            <wp:effectExtent l="0" t="0" r="11430" b="4445"/>
                            <wp:docPr id="56" name="Picture 1" desc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 descr="TS"/>
                                    <pic:cNvPicPr>
                                      <a:picLocks noChangeAspect="1"/>
                                    </pic:cNvPicPr>
                                  </pic:nvPicPr>
                                  <pic:blipFill>
                                    <a:blip r:embed="rId23"/>
                                    <a:stretch>
                                      <a:fillRect/>
                                    </a:stretch>
                                  </pic:blipFill>
                                  <pic:spPr>
                                    <a:xfrm>
                                      <a:off x="0" y="0"/>
                                      <a:ext cx="807720" cy="1024255"/>
                                    </a:xfrm>
                                    <a:prstGeom prst="rect">
                                      <a:avLst/>
                                    </a:prstGeom>
                                    <a:noFill/>
                                    <a:ln>
                                      <a:noFill/>
                                    </a:ln>
                                  </pic:spPr>
                                </pic:pic>
                              </a:graphicData>
                            </a:graphic>
                          </wp:inline>
                        </w:drawing>
                      </w:r>
                    </w:p>
                  </w:txbxContent>
                </v:textbox>
              </v:shape>
            </w:pict>
          </mc:Fallback>
        </mc:AlternateContent>
      </w:r>
      <w:r>
        <w:rPr>
          <w:color w:val="000000"/>
          <w:lang w:val="id-ID" w:eastAsia="id-ID"/>
        </w:rPr>
        <mc:AlternateContent>
          <mc:Choice Requires="wps">
            <w:drawing>
              <wp:anchor distT="0" distB="0" distL="114300" distR="114300" simplePos="0" relativeHeight="251741184" behindDoc="0" locked="0" layoutInCell="1" allowOverlap="1">
                <wp:simplePos x="0" y="0"/>
                <wp:positionH relativeFrom="column">
                  <wp:posOffset>4741545</wp:posOffset>
                </wp:positionH>
                <wp:positionV relativeFrom="paragraph">
                  <wp:posOffset>-495300</wp:posOffset>
                </wp:positionV>
                <wp:extent cx="1238250" cy="1428750"/>
                <wp:effectExtent l="19050" t="19050" r="38100" b="57150"/>
                <wp:wrapNone/>
                <wp:docPr id="89" name="Rounded Rectangle 80"/>
                <wp:cNvGraphicFramePr/>
                <a:graphic xmlns:a="http://schemas.openxmlformats.org/drawingml/2006/main">
                  <a:graphicData uri="http://schemas.microsoft.com/office/word/2010/wordprocessingShape">
                    <wps:wsp>
                      <wps:cNvSpPr/>
                      <wps:spPr>
                        <a:xfrm>
                          <a:off x="0" y="0"/>
                          <a:ext cx="1238250" cy="1428750"/>
                        </a:xfrm>
                        <a:prstGeom prst="roundRect">
                          <a:avLst>
                            <a:gd name="adj" fmla="val 16667"/>
                          </a:avLst>
                        </a:prstGeom>
                        <a:solidFill>
                          <a:srgbClr val="FFFFFF"/>
                        </a:solidFill>
                        <a:ln w="38100" cap="flat" cmpd="sng">
                          <a:solidFill>
                            <a:srgbClr val="F2F2F2"/>
                          </a:solidFill>
                          <a:prstDash val="solid"/>
                          <a:headEnd type="none" w="med" len="med"/>
                          <a:tailEnd type="none" w="med" len="med"/>
                        </a:ln>
                        <a:effectLst>
                          <a:outerShdw dist="28398" dir="3806096" algn="ctr" rotWithShape="0">
                            <a:srgbClr val="205867">
                              <a:alpha val="50000"/>
                            </a:srgbClr>
                          </a:outerShdw>
                        </a:effectLst>
                      </wps:spPr>
                      <wps:bodyPr upright="1"/>
                    </wps:wsp>
                  </a:graphicData>
                </a:graphic>
              </wp:anchor>
            </w:drawing>
          </mc:Choice>
          <mc:Fallback>
            <w:pict>
              <v:roundrect id="Rounded Rectangle 80" o:spid="_x0000_s1026" o:spt="2" style="position:absolute;left:0pt;margin-left:373.35pt;margin-top:-39pt;height:112.5pt;width:97.5pt;z-index:251741184;mso-width-relative:page;mso-height-relative:page;" fillcolor="#FFFFFF" filled="t" stroked="t" coordsize="21600,21600" arcsize="0.166666666666667" o:gfxdata="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0TmwJNYA&#10;AAALAQAADwAAAAAAAAABACAAAAAiAAAAZHJzL2Rvd25yZXYueG1sUEsBAhQAFAAAAAgAh07iQB/u&#10;gGJaAgAA+wQAAA4AAAAAAAAAAQAgAAAAJQEAAGRycy9lMm9Eb2MueG1sUEsFBgAAAAAGAAYAWQEA&#10;APEFAAAAAA==&#10;">
                <v:fill on="t" focussize="0,0"/>
                <v:stroke weight="3pt" color="#F2F2F2" joinstyle="round"/>
                <v:imagedata o:title=""/>
                <o:lock v:ext="edit" aspectratio="f"/>
                <v:shadow on="t" color="#205867" opacity="32768f" offset="1pt,2pt" origin="0f,0f" matrix="65536f,0f,0f,65536f"/>
              </v:roundrect>
            </w:pict>
          </mc:Fallback>
        </mc:AlternateContent>
      </w:r>
      <w:r>
        <w:rPr>
          <w:color w:val="000000"/>
          <w:lang w:val="id-ID" w:eastAsia="id-ID"/>
        </w:rPr>
        <mc:AlternateContent>
          <mc:Choice Requires="wps">
            <w:drawing>
              <wp:anchor distT="0" distB="0" distL="114300" distR="114300" simplePos="0" relativeHeight="251740160" behindDoc="0" locked="0" layoutInCell="1" allowOverlap="1">
                <wp:simplePos x="0" y="0"/>
                <wp:positionH relativeFrom="column">
                  <wp:posOffset>-28575</wp:posOffset>
                </wp:positionH>
                <wp:positionV relativeFrom="paragraph">
                  <wp:posOffset>-285750</wp:posOffset>
                </wp:positionV>
                <wp:extent cx="6315075" cy="885825"/>
                <wp:effectExtent l="19050" t="19050" r="47625" b="47625"/>
                <wp:wrapNone/>
                <wp:docPr id="98" name="Rectangles 98"/>
                <wp:cNvGraphicFramePr/>
                <a:graphic xmlns:a="http://schemas.openxmlformats.org/drawingml/2006/main">
                  <a:graphicData uri="http://schemas.microsoft.com/office/word/2010/wordprocessingShape">
                    <wps:wsp>
                      <wps:cNvSpPr/>
                      <wps:spPr>
                        <a:xfrm>
                          <a:off x="0" y="0"/>
                          <a:ext cx="6315075" cy="885825"/>
                        </a:xfrm>
                        <a:prstGeom prst="rect">
                          <a:avLst/>
                        </a:prstGeom>
                        <a:gradFill rotWithShape="1">
                          <a:gsLst>
                            <a:gs pos="0">
                              <a:srgbClr val="92D050">
                                <a:gamma/>
                                <a:shade val="46275"/>
                                <a:invGamma/>
                              </a:srgbClr>
                            </a:gs>
                            <a:gs pos="50000">
                              <a:srgbClr val="92D050"/>
                            </a:gs>
                            <a:gs pos="100000">
                              <a:srgbClr val="92D050">
                                <a:gamma/>
                                <a:shade val="46275"/>
                                <a:invGamma/>
                              </a:srgbClr>
                            </a:gs>
                          </a:gsLst>
                          <a:lin ang="5400000" scaled="1"/>
                          <a:tileRect/>
                        </a:gradFill>
                        <a:ln w="38100" cap="flat" cmpd="sng">
                          <a:solidFill>
                            <a:srgbClr val="F2F2F2"/>
                          </a:solidFill>
                          <a:prstDash val="solid"/>
                          <a:miter/>
                          <a:headEnd type="none" w="med" len="med"/>
                          <a:tailEnd type="none" w="med" len="med"/>
                        </a:ln>
                        <a:effectLst>
                          <a:outerShdw dist="28398" dir="3806096" algn="ctr" rotWithShape="0">
                            <a:srgbClr val="205867">
                              <a:alpha val="50000"/>
                            </a:srgbClr>
                          </a:outerShdw>
                        </a:effectLst>
                      </wps:spPr>
                      <wps:bodyPr upright="1"/>
                    </wps:wsp>
                  </a:graphicData>
                </a:graphic>
              </wp:anchor>
            </w:drawing>
          </mc:Choice>
          <mc:Fallback>
            <w:pict>
              <v:rect id="_x0000_s1026" o:spid="_x0000_s1026" o:spt="1" style="position:absolute;left:0pt;margin-left:-2.25pt;margin-top:-22.5pt;height:69.75pt;width:497.25pt;z-index:251740160;mso-width-relative:page;mso-height-relative:page;" fillcolor="#446025" filled="t" stroked="t" coordsize="21600,21600" o:gfxdata="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2u7uV9cAAAAJAQAADwAAAAAAAAABACAAAAAiAAAAZHJzL2Rvd25yZXYueG1s&#10;UEsBAhQAFAAAAAgAh07iQI+6qUOkAgAABgYAAA4AAAAAAAAAAQAgAAAAJgEAAGRycy9lMm9Eb2Mu&#10;eG1sUEsFBgAAAAAGAAYAWQEAADwGAAAAAA==&#10;">
                <v:fill type="gradient" on="t" color2="#92D050" focus="50%" focussize="0,0" rotate="t"/>
                <v:stroke weight="3pt" color="#F2F2F2" joinstyle="miter"/>
                <v:imagedata o:title=""/>
                <o:lock v:ext="edit" aspectratio="f"/>
                <v:shadow on="t" color="#205867" opacity="32768f" offset="1pt,2pt" origin="0f,0f" matrix="65536f,0f,0f,65536f"/>
              </v:rect>
            </w:pict>
          </mc:Fallback>
        </mc:AlternateContent>
      </w:r>
    </w:p>
    <w:p>
      <w:pPr>
        <w:rPr>
          <w:color w:val="000000"/>
        </w:rPr>
      </w:pPr>
    </w:p>
    <w:tbl>
      <w:tblPr>
        <w:tblStyle w:val="7"/>
        <w:tblpPr w:leftFromText="187" w:rightFromText="187" w:horzAnchor="margin" w:tblpXSpec="center" w:tblpYSpec="bottom"/>
        <w:tblW w:w="4000" w:type="pct"/>
        <w:tblInd w:w="0" w:type="dxa"/>
        <w:tblLayout w:type="autofit"/>
        <w:tblCellMar>
          <w:top w:w="0" w:type="dxa"/>
          <w:left w:w="108" w:type="dxa"/>
          <w:bottom w:w="0" w:type="dxa"/>
          <w:right w:w="108" w:type="dxa"/>
        </w:tblCellMar>
      </w:tblPr>
      <w:tblGrid>
        <w:gridCol w:w="7672"/>
      </w:tblGrid>
      <w:tr>
        <w:tblPrEx>
          <w:tblCellMar>
            <w:top w:w="0" w:type="dxa"/>
            <w:left w:w="108" w:type="dxa"/>
            <w:bottom w:w="0" w:type="dxa"/>
            <w:right w:w="108" w:type="dxa"/>
          </w:tblCellMar>
        </w:tblPrEx>
        <w:tc>
          <w:tcPr>
            <w:tcW w:w="7672" w:type="dxa"/>
            <w:noWrap/>
            <w:tcMar>
              <w:top w:w="216" w:type="dxa"/>
              <w:left w:w="115" w:type="dxa"/>
              <w:bottom w:w="216" w:type="dxa"/>
              <w:right w:w="115" w:type="dxa"/>
            </w:tcMar>
          </w:tcPr>
          <w:p>
            <w:pPr>
              <w:pStyle w:val="23"/>
              <w:rPr>
                <w:color w:val="000000"/>
              </w:rPr>
            </w:pPr>
            <w:r>
              <w:rPr>
                <w:color w:val="000000"/>
                <w:lang w:val="id-ID" w:eastAsia="id-ID"/>
              </w:rPr>
              <mc:AlternateContent>
                <mc:Choice Requires="wps">
                  <w:drawing>
                    <wp:anchor distT="0" distB="0" distL="114300" distR="114300" simplePos="0" relativeHeight="251764736" behindDoc="0" locked="0" layoutInCell="1" allowOverlap="1">
                      <wp:simplePos x="0" y="0"/>
                      <wp:positionH relativeFrom="column">
                        <wp:posOffset>4780915</wp:posOffset>
                      </wp:positionH>
                      <wp:positionV relativeFrom="paragraph">
                        <wp:posOffset>499110</wp:posOffset>
                      </wp:positionV>
                      <wp:extent cx="238125" cy="250190"/>
                      <wp:effectExtent l="19050" t="19050" r="47625" b="54610"/>
                      <wp:wrapNone/>
                      <wp:docPr id="117" name="Rectangles 100"/>
                      <wp:cNvGraphicFramePr/>
                      <a:graphic xmlns:a="http://schemas.openxmlformats.org/drawingml/2006/main">
                        <a:graphicData uri="http://schemas.microsoft.com/office/word/2010/wordprocessingShape">
                          <wps:wsp>
                            <wps:cNvSpPr/>
                            <wps:spPr>
                              <a:xfrm>
                                <a:off x="0" y="0"/>
                                <a:ext cx="238125" cy="250190"/>
                              </a:xfrm>
                              <a:prstGeom prst="rect">
                                <a:avLst/>
                              </a:prstGeom>
                              <a:solidFill>
                                <a:srgbClr val="92D050"/>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bodyPr upright="1"/>
                          </wps:wsp>
                        </a:graphicData>
                      </a:graphic>
                    </wp:anchor>
                  </w:drawing>
                </mc:Choice>
                <mc:Fallback>
                  <w:pict>
                    <v:rect id="Rectangles 100" o:spid="_x0000_s1026" o:spt="1" style="position:absolute;left:0pt;margin-left:376.45pt;margin-top:39.3pt;height:19.7pt;width:18.75pt;z-index:251764736;mso-width-relative:page;mso-height-relative:page;" fillcolor="#92D050" filled="t" stroked="t" coordsize="21600,21600" o:gfxdata="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cyXjHZAAAACgEAAA8AAAAAAAAAAQAg&#10;AAAAIgAAAGRycy9kb3ducmV2LnhtbFBLAQIUABQAAAAIAIdO4kB9fKPqRgIAAM0EAAAOAAAAAAAA&#10;AAEAIAAAACgBAABkcnMvZTJvRG9jLnhtbFBLBQYAAAAABgAGAFkBAADgBQAAAAA=&#10;">
                      <v:fill on="t" focussize="0,0"/>
                      <v:stroke weight="3pt" color="#F2F2F2" joinstyle="miter"/>
                      <v:imagedata o:title=""/>
                      <o:lock v:ext="edit" aspectratio="f"/>
                      <v:shadow on="t" color="#622423" opacity="32768f" offset="1pt,2pt" origin="0f,0f" matrix="65536f,0f,0f,65536f"/>
                    </v:rect>
                  </w:pict>
                </mc:Fallback>
              </mc:AlternateContent>
            </w:r>
            <w:r>
              <w:rPr>
                <w:color w:val="000000"/>
                <w:lang w:val="id-ID" w:eastAsia="id-ID"/>
              </w:rPr>
              <mc:AlternateContent>
                <mc:Choice Requires="wps">
                  <w:drawing>
                    <wp:anchor distT="0" distB="0" distL="114300" distR="114300" simplePos="0" relativeHeight="251763712" behindDoc="0" locked="0" layoutInCell="1" allowOverlap="1">
                      <wp:simplePos x="0" y="0"/>
                      <wp:positionH relativeFrom="column">
                        <wp:posOffset>4628515</wp:posOffset>
                      </wp:positionH>
                      <wp:positionV relativeFrom="paragraph">
                        <wp:posOffset>346710</wp:posOffset>
                      </wp:positionV>
                      <wp:extent cx="238125" cy="250190"/>
                      <wp:effectExtent l="19050" t="19050" r="47625" b="54610"/>
                      <wp:wrapNone/>
                      <wp:docPr id="111" name="Rectangles 111"/>
                      <wp:cNvGraphicFramePr/>
                      <a:graphic xmlns:a="http://schemas.openxmlformats.org/drawingml/2006/main">
                        <a:graphicData uri="http://schemas.microsoft.com/office/word/2010/wordprocessingShape">
                          <wps:wsp>
                            <wps:cNvSpPr/>
                            <wps:spPr>
                              <a:xfrm>
                                <a:off x="0" y="0"/>
                                <a:ext cx="238125" cy="250190"/>
                              </a:xfrm>
                              <a:prstGeom prst="rect">
                                <a:avLst/>
                              </a:prstGeom>
                              <a:solidFill>
                                <a:srgbClr val="92D050"/>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bodyPr upright="1"/>
                          </wps:wsp>
                        </a:graphicData>
                      </a:graphic>
                    </wp:anchor>
                  </w:drawing>
                </mc:Choice>
                <mc:Fallback>
                  <w:pict>
                    <v:rect id="_x0000_s1026" o:spid="_x0000_s1026" o:spt="1" style="position:absolute;left:0pt;margin-left:364.45pt;margin-top:27.3pt;height:19.7pt;width:18.75pt;z-index:251763712;mso-width-relative:page;mso-height-relative:page;" fillcolor="#92D050" filled="t" stroked="t" coordsize="21600,21600" o:gfxdata="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ZO9dDZAAAACQEAAA8AAAAAAAAAAQAg&#10;AAAAIgAAAGRycy9kb3ducmV2LnhtbFBLAQIUABQAAAAIAIdO4kBAzag0RgIAAM0EAAAOAAAAAAAA&#10;AAEAIAAAACgBAABkcnMvZTJvRG9jLnhtbFBLBQYAAAAABgAGAFkBAADgBQAAAAA=&#10;">
                      <v:fill on="t" focussize="0,0"/>
                      <v:stroke weight="3pt" color="#F2F2F2" joinstyle="miter"/>
                      <v:imagedata o:title=""/>
                      <o:lock v:ext="edit" aspectratio="f"/>
                      <v:shadow on="t" color="#622423" opacity="32768f" offset="1pt,2pt" origin="0f,0f" matrix="65536f,0f,0f,65536f"/>
                    </v:rect>
                  </w:pict>
                </mc:Fallback>
              </mc:AlternateContent>
            </w:r>
            <w:r>
              <w:rPr>
                <w:color w:val="000000"/>
              </w:rPr>
              <w:t>PEMERINTAH</w:t>
            </w:r>
            <w:r>
              <w:rPr>
                <w:color w:val="000000"/>
                <w:lang w:val="id-ID"/>
              </w:rPr>
              <w:t xml:space="preserve"> PROVINSI SUMATERA BARAT</w:t>
            </w:r>
          </w:p>
          <w:p>
            <w:pPr>
              <w:pStyle w:val="23"/>
              <w:rPr>
                <w:color w:val="000000"/>
              </w:rPr>
            </w:pPr>
            <w:r>
              <w:rPr>
                <w:color w:val="000000"/>
                <w:lang w:val="id-ID" w:eastAsia="id-ID"/>
              </w:rPr>
              <mc:AlternateContent>
                <mc:Choice Requires="wps">
                  <w:drawing>
                    <wp:anchor distT="0" distB="0" distL="114300" distR="114300" simplePos="0" relativeHeight="251762688" behindDoc="0" locked="0" layoutInCell="1" allowOverlap="1">
                      <wp:simplePos x="0" y="0"/>
                      <wp:positionH relativeFrom="column">
                        <wp:posOffset>4476115</wp:posOffset>
                      </wp:positionH>
                      <wp:positionV relativeFrom="paragraph">
                        <wp:posOffset>23495</wp:posOffset>
                      </wp:positionV>
                      <wp:extent cx="238125" cy="250190"/>
                      <wp:effectExtent l="19050" t="19050" r="47625" b="54610"/>
                      <wp:wrapNone/>
                      <wp:docPr id="114" name="Rectangles 114"/>
                      <wp:cNvGraphicFramePr/>
                      <a:graphic xmlns:a="http://schemas.openxmlformats.org/drawingml/2006/main">
                        <a:graphicData uri="http://schemas.microsoft.com/office/word/2010/wordprocessingShape">
                          <wps:wsp>
                            <wps:cNvSpPr/>
                            <wps:spPr>
                              <a:xfrm>
                                <a:off x="0" y="0"/>
                                <a:ext cx="238125" cy="250190"/>
                              </a:xfrm>
                              <a:prstGeom prst="rect">
                                <a:avLst/>
                              </a:prstGeom>
                              <a:solidFill>
                                <a:srgbClr val="92D050"/>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bodyPr upright="1"/>
                          </wps:wsp>
                        </a:graphicData>
                      </a:graphic>
                    </wp:anchor>
                  </w:drawing>
                </mc:Choice>
                <mc:Fallback>
                  <w:pict>
                    <v:rect id="_x0000_s1026" o:spid="_x0000_s1026" o:spt="1" style="position:absolute;left:0pt;margin-left:352.45pt;margin-top:1.85pt;height:19.7pt;width:18.75pt;z-index:251762688;mso-width-relative:page;mso-height-relative:page;" fillcolor="#92D050" filled="t" stroked="t" coordsize="21600,21600" o:gfxdata="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gqwo3YAAAACAEAAA8AAAAAAAAAAQAg&#10;AAAAIgAAAGRycy9kb3ducmV2LnhtbFBLAQIUABQAAAAIAIdO4kD/KCFVRwIAAM0EAAAOAAAAAAAA&#10;AAEAIAAAACcBAABkcnMvZTJvRG9jLnhtbFBLBQYAAAAABgAGAFkBAADgBQAAAAA=&#10;">
                      <v:fill on="t" focussize="0,0"/>
                      <v:stroke weight="3pt" color="#F2F2F2" joinstyle="miter"/>
                      <v:imagedata o:title=""/>
                      <o:lock v:ext="edit" aspectratio="f"/>
                      <v:shadow on="t" color="#622423" opacity="32768f" offset="1pt,2pt" origin="0f,0f" matrix="65536f,0f,0f,65536f"/>
                    </v:rect>
                  </w:pict>
                </mc:Fallback>
              </mc:AlternateContent>
            </w:r>
          </w:p>
          <w:p>
            <w:pPr>
              <w:pStyle w:val="23"/>
              <w:rPr>
                <w:color w:val="000000"/>
              </w:rPr>
            </w:pPr>
          </w:p>
        </w:tc>
      </w:tr>
    </w:tbl>
    <w:p>
      <w:pPr>
        <w:rPr>
          <w:color w:val="000000"/>
        </w:rPr>
      </w:pPr>
    </w:p>
    <w:p>
      <w:pPr>
        <w:spacing w:after="0" w:line="240" w:lineRule="auto"/>
        <w:jc w:val="right"/>
        <w:rPr>
          <w:rFonts w:ascii="Tahoma" w:hAnsi="Tahoma" w:cs="Tahoma"/>
          <w:b/>
          <w:color w:val="000000"/>
          <w:sz w:val="60"/>
          <w:szCs w:val="60"/>
        </w:rPr>
        <w:sectPr>
          <w:headerReference r:id="rId6" w:type="first"/>
          <w:headerReference r:id="rId5" w:type="default"/>
          <w:footerReference r:id="rId7" w:type="default"/>
          <w:pgSz w:w="11906" w:h="16838"/>
          <w:pgMar w:top="1701" w:right="1134" w:bottom="1701" w:left="1701" w:header="720" w:footer="720" w:gutter="0"/>
          <w:pgBorders>
            <w:top w:val="none" w:sz="0" w:space="0"/>
            <w:left w:val="none" w:sz="0" w:space="0"/>
            <w:bottom w:val="none" w:sz="0" w:space="0"/>
            <w:right w:val="none" w:sz="0" w:space="0"/>
          </w:pgBorders>
          <w:pgNumType w:fmt="lowerRoman"/>
          <w:cols w:space="720" w:num="1"/>
          <w:titlePg/>
          <w:docGrid w:linePitch="360" w:charSpace="0"/>
        </w:sectPr>
      </w:pPr>
      <w:r>
        <w:rPr>
          <w:color w:val="000000"/>
          <w:lang w:val="id-ID" w:eastAsia="id-ID"/>
        </w:rPr>
        <mc:AlternateContent>
          <mc:Choice Requires="wps">
            <w:drawing>
              <wp:anchor distT="0" distB="0" distL="114300" distR="114300" simplePos="0" relativeHeight="251755520" behindDoc="0" locked="0" layoutInCell="1" allowOverlap="1">
                <wp:simplePos x="0" y="0"/>
                <wp:positionH relativeFrom="column">
                  <wp:posOffset>1107440</wp:posOffset>
                </wp:positionH>
                <wp:positionV relativeFrom="paragraph">
                  <wp:posOffset>5109845</wp:posOffset>
                </wp:positionV>
                <wp:extent cx="573405" cy="567055"/>
                <wp:effectExtent l="19050" t="19050" r="36195" b="61595"/>
                <wp:wrapNone/>
                <wp:docPr id="106" name="Rectangles 106"/>
                <wp:cNvGraphicFramePr/>
                <a:graphic xmlns:a="http://schemas.openxmlformats.org/drawingml/2006/main">
                  <a:graphicData uri="http://schemas.microsoft.com/office/word/2010/wordprocessingShape">
                    <wps:wsp>
                      <wps:cNvSpPr/>
                      <wps:spPr>
                        <a:xfrm>
                          <a:off x="0" y="0"/>
                          <a:ext cx="573405" cy="567055"/>
                        </a:xfrm>
                        <a:prstGeom prst="rect">
                          <a:avLst/>
                        </a:prstGeom>
                        <a:solidFill>
                          <a:srgbClr val="9BBB59"/>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bodyPr upright="1"/>
                    </wps:wsp>
                  </a:graphicData>
                </a:graphic>
              </wp:anchor>
            </w:drawing>
          </mc:Choice>
          <mc:Fallback>
            <w:pict>
              <v:rect id="_x0000_s1026" o:spid="_x0000_s1026" o:spt="1" style="position:absolute;left:0pt;margin-left:87.2pt;margin-top:402.35pt;height:44.65pt;width:45.15pt;z-index:251755520;mso-width-relative:page;mso-height-relative:page;" fillcolor="#9BBB59" filled="t" stroked="t" coordsize="21600,21600" o:gfxdata="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vOJk3aAAAACwEAAA8AAAAAAAAA&#10;AQAgAAAAIgAAAGRycy9kb3ducmV2LnhtbFBLAQIUABQAAAAIAIdO4kCx3lTaSAIAAM0EAAAOAAAA&#10;AAAAAAEAIAAAACkBAABkcnMvZTJvRG9jLnhtbFBLBQYAAAAABgAGAFkBAADjBQAAAAA=&#10;">
                <v:fill on="t" focussize="0,0"/>
                <v:stroke weight="3pt" color="#F2F2F2" joinstyle="miter"/>
                <v:imagedata o:title=""/>
                <o:lock v:ext="edit" aspectratio="f"/>
                <v:shadow on="t" color="#4E6128" opacity="32768f" offset="1pt,2pt" origin="0f,0f" matrix="65536f,0f,0f,65536f"/>
              </v:rect>
            </w:pict>
          </mc:Fallback>
        </mc:AlternateContent>
      </w:r>
      <w:r>
        <w:rPr>
          <w:color w:val="000000"/>
          <w:lang w:val="id-ID" w:eastAsia="id-ID"/>
        </w:rPr>
        <mc:AlternateContent>
          <mc:Choice Requires="wps">
            <w:drawing>
              <wp:anchor distT="0" distB="0" distL="114300" distR="114300" simplePos="0" relativeHeight="251754496" behindDoc="0" locked="0" layoutInCell="1" allowOverlap="1">
                <wp:simplePos x="0" y="0"/>
                <wp:positionH relativeFrom="column">
                  <wp:posOffset>447040</wp:posOffset>
                </wp:positionH>
                <wp:positionV relativeFrom="paragraph">
                  <wp:posOffset>5100320</wp:posOffset>
                </wp:positionV>
                <wp:extent cx="573405" cy="567055"/>
                <wp:effectExtent l="19050" t="19050" r="36195" b="61595"/>
                <wp:wrapNone/>
                <wp:docPr id="110" name="Rectangles 110"/>
                <wp:cNvGraphicFramePr/>
                <a:graphic xmlns:a="http://schemas.openxmlformats.org/drawingml/2006/main">
                  <a:graphicData uri="http://schemas.microsoft.com/office/word/2010/wordprocessingShape">
                    <wps:wsp>
                      <wps:cNvSpPr/>
                      <wps:spPr>
                        <a:xfrm>
                          <a:off x="0" y="0"/>
                          <a:ext cx="573405" cy="567055"/>
                        </a:xfrm>
                        <a:prstGeom prst="rect">
                          <a:avLst/>
                        </a:prstGeom>
                        <a:solidFill>
                          <a:srgbClr val="4F81BD"/>
                        </a:solidFill>
                        <a:ln w="38100" cap="flat" cmpd="sng">
                          <a:solidFill>
                            <a:srgbClr val="F2F2F2"/>
                          </a:solidFill>
                          <a:prstDash val="solid"/>
                          <a:miter/>
                          <a:headEnd type="none" w="med" len="med"/>
                          <a:tailEnd type="none" w="med" len="med"/>
                        </a:ln>
                        <a:effectLst>
                          <a:outerShdw dist="28398" dir="3806096" algn="ctr" rotWithShape="0">
                            <a:srgbClr val="243F60">
                              <a:alpha val="50000"/>
                            </a:srgbClr>
                          </a:outerShdw>
                        </a:effectLst>
                      </wps:spPr>
                      <wps:bodyPr upright="1"/>
                    </wps:wsp>
                  </a:graphicData>
                </a:graphic>
              </wp:anchor>
            </w:drawing>
          </mc:Choice>
          <mc:Fallback>
            <w:pict>
              <v:rect id="_x0000_s1026" o:spid="_x0000_s1026" o:spt="1" style="position:absolute;left:0pt;margin-left:35.2pt;margin-top:401.6pt;height:44.65pt;width:45.15pt;z-index:251754496;mso-width-relative:page;mso-height-relative:page;" fillcolor="#4F81BD" filled="t" stroked="t" coordsize="21600,21600" o:gfxdata="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8I2HjdsAAAAKAQAADwAAAAAAAAAB&#10;ACAAAAAiAAAAZHJzL2Rvd25yZXYueG1sUEsBAhQAFAAAAAgAh07iQD524mRGAgAAzQQAAA4AAAAA&#10;AAAAAQAgAAAAKgEAAGRycy9lMm9Eb2MueG1sUEsFBgAAAAAGAAYAWQEAAOIFAAAAAA==&#10;">
                <v:fill on="t" focussize="0,0"/>
                <v:stroke weight="3pt" color="#F2F2F2" joinstyle="miter"/>
                <v:imagedata o:title=""/>
                <o:lock v:ext="edit" aspectratio="f"/>
                <v:shadow on="t" color="#243F60" opacity="32768f" offset="1pt,2pt" origin="0f,0f" matrix="65536f,0f,0f,65536f"/>
              </v:rect>
            </w:pict>
          </mc:Fallback>
        </mc:AlternateContent>
      </w:r>
      <w:r>
        <w:rPr>
          <w:color w:val="000000"/>
          <w:lang w:val="id-ID" w:eastAsia="id-ID"/>
        </w:rPr>
        <mc:AlternateContent>
          <mc:Choice Requires="wps">
            <w:drawing>
              <wp:anchor distT="0" distB="0" distL="114300" distR="114300" simplePos="0" relativeHeight="251759616" behindDoc="0" locked="0" layoutInCell="1" allowOverlap="1">
                <wp:simplePos x="0" y="0"/>
                <wp:positionH relativeFrom="column">
                  <wp:posOffset>3739515</wp:posOffset>
                </wp:positionH>
                <wp:positionV relativeFrom="paragraph">
                  <wp:posOffset>5144770</wp:posOffset>
                </wp:positionV>
                <wp:extent cx="573405" cy="567055"/>
                <wp:effectExtent l="19050" t="19050" r="36195" b="61595"/>
                <wp:wrapNone/>
                <wp:docPr id="107" name="Rectangles 104"/>
                <wp:cNvGraphicFramePr/>
                <a:graphic xmlns:a="http://schemas.openxmlformats.org/drawingml/2006/main">
                  <a:graphicData uri="http://schemas.microsoft.com/office/word/2010/wordprocessingShape">
                    <wps:wsp>
                      <wps:cNvSpPr/>
                      <wps:spPr>
                        <a:xfrm>
                          <a:off x="0" y="0"/>
                          <a:ext cx="573405" cy="567055"/>
                        </a:xfrm>
                        <a:prstGeom prst="rect">
                          <a:avLst/>
                        </a:prstGeom>
                        <a:solidFill>
                          <a:srgbClr val="000000"/>
                        </a:solidFill>
                        <a:ln w="38100" cap="flat" cmpd="sng">
                          <a:solidFill>
                            <a:srgbClr val="F2F2F2"/>
                          </a:solidFill>
                          <a:prstDash val="solid"/>
                          <a:miter/>
                          <a:headEnd type="none" w="med" len="med"/>
                          <a:tailEnd type="none" w="med" len="med"/>
                        </a:ln>
                        <a:effectLst>
                          <a:outerShdw dist="28398" dir="3806096" algn="ctr" rotWithShape="0">
                            <a:srgbClr val="7F7F7F">
                              <a:alpha val="50000"/>
                            </a:srgbClr>
                          </a:outerShdw>
                        </a:effectLst>
                      </wps:spPr>
                      <wps:bodyPr upright="1"/>
                    </wps:wsp>
                  </a:graphicData>
                </a:graphic>
              </wp:anchor>
            </w:drawing>
          </mc:Choice>
          <mc:Fallback>
            <w:pict>
              <v:rect id="Rectangles 104" o:spid="_x0000_s1026" o:spt="1" style="position:absolute;left:0pt;margin-left:294.45pt;margin-top:405.1pt;height:44.65pt;width:45.15pt;z-index:251759616;mso-width-relative:page;mso-height-relative:page;" fillcolor="#000000" filled="t" stroked="t" coordsize="21600,21600" o:gfxdata="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aBp0HaAAAACwEAAA8AAAAAAAAAAQAgAAAA&#10;IgAAAGRycy9kb3ducmV2LnhtbFBLAQIUABQAAAAIAIdO4kBrOPrCQgIAAM0EAAAOAAAAAAAAAAEA&#10;IAAAACkBAABkcnMvZTJvRG9jLnhtbFBLBQYAAAAABgAGAFkBAADdBQAAAAA=&#10;">
                <v:fill on="t" focussize="0,0"/>
                <v:stroke weight="3pt" color="#F2F2F2" joinstyle="miter"/>
                <v:imagedata o:title=""/>
                <o:lock v:ext="edit" aspectratio="f"/>
                <v:shadow on="t" color="#7F7F7F" opacity="32768f" offset="1pt,2pt" origin="0f,0f" matrix="65536f,0f,0f,65536f"/>
              </v:rect>
            </w:pict>
          </mc:Fallback>
        </mc:AlternateContent>
      </w:r>
      <w:r>
        <w:rPr>
          <w:color w:val="000000"/>
          <w:lang w:val="id-ID" w:eastAsia="id-ID"/>
        </w:rPr>
        <mc:AlternateContent>
          <mc:Choice Requires="wps">
            <w:drawing>
              <wp:anchor distT="0" distB="0" distL="114300" distR="114300" simplePos="0" relativeHeight="251758592" behindDoc="0" locked="0" layoutInCell="1" allowOverlap="1">
                <wp:simplePos x="0" y="0"/>
                <wp:positionH relativeFrom="column">
                  <wp:posOffset>3079115</wp:posOffset>
                </wp:positionH>
                <wp:positionV relativeFrom="paragraph">
                  <wp:posOffset>5135245</wp:posOffset>
                </wp:positionV>
                <wp:extent cx="573405" cy="567055"/>
                <wp:effectExtent l="19050" t="19050" r="36195" b="61595"/>
                <wp:wrapNone/>
                <wp:docPr id="113" name="Rectangles 113"/>
                <wp:cNvGraphicFramePr/>
                <a:graphic xmlns:a="http://schemas.openxmlformats.org/drawingml/2006/main">
                  <a:graphicData uri="http://schemas.microsoft.com/office/word/2010/wordprocessingShape">
                    <wps:wsp>
                      <wps:cNvSpPr/>
                      <wps:spPr>
                        <a:xfrm>
                          <a:off x="0" y="0"/>
                          <a:ext cx="573405" cy="567055"/>
                        </a:xfrm>
                        <a:prstGeom prst="rect">
                          <a:avLst/>
                        </a:prstGeom>
                        <a:solidFill>
                          <a:srgbClr val="F79646"/>
                        </a:solid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bodyPr upright="1"/>
                    </wps:wsp>
                  </a:graphicData>
                </a:graphic>
              </wp:anchor>
            </w:drawing>
          </mc:Choice>
          <mc:Fallback>
            <w:pict>
              <v:rect id="_x0000_s1026" o:spid="_x0000_s1026" o:spt="1" style="position:absolute;left:0pt;margin-left:242.45pt;margin-top:404.35pt;height:44.65pt;width:45.15pt;z-index:251758592;mso-width-relative:page;mso-height-relative:page;" fillcolor="#F79646" filled="t" stroked="t" coordsize="21600,21600" o:gfxdata="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SioXfZAAAACwEAAA8AAAAAAAAAAQAg&#10;AAAAIgAAAGRycy9kb3ducmV2LnhtbFBLAQIUABQAAAAIAIdO4kA8KZ5eRgIAAM0EAAAOAAAAAAAA&#10;AAEAIAAAACgBAABkcnMvZTJvRG9jLnhtbFBLBQYAAAAABgAGAFkBAADgBQAAAAA=&#10;">
                <v:fill on="t" focussize="0,0"/>
                <v:stroke weight="3pt" color="#F2F2F2" joinstyle="miter"/>
                <v:imagedata o:title=""/>
                <o:lock v:ext="edit" aspectratio="f"/>
                <v:shadow on="t" color="#974706" opacity="32768f" offset="1pt,2pt" origin="0f,0f" matrix="65536f,0f,0f,65536f"/>
              </v:rect>
            </w:pict>
          </mc:Fallback>
        </mc:AlternateContent>
      </w:r>
      <w:r>
        <w:rPr>
          <w:color w:val="000000"/>
          <w:lang w:val="id-ID" w:eastAsia="id-ID"/>
        </w:rPr>
        <mc:AlternateContent>
          <mc:Choice Requires="wps">
            <w:drawing>
              <wp:anchor distT="0" distB="0" distL="114300" distR="114300" simplePos="0" relativeHeight="251761664" behindDoc="0" locked="0" layoutInCell="1" allowOverlap="1">
                <wp:simplePos x="0" y="0"/>
                <wp:positionH relativeFrom="column">
                  <wp:posOffset>5066665</wp:posOffset>
                </wp:positionH>
                <wp:positionV relativeFrom="paragraph">
                  <wp:posOffset>5154295</wp:posOffset>
                </wp:positionV>
                <wp:extent cx="573405" cy="567055"/>
                <wp:effectExtent l="19050" t="19050" r="36195" b="61595"/>
                <wp:wrapNone/>
                <wp:docPr id="108" name="Rectangles 108"/>
                <wp:cNvGraphicFramePr/>
                <a:graphic xmlns:a="http://schemas.openxmlformats.org/drawingml/2006/main">
                  <a:graphicData uri="http://schemas.microsoft.com/office/word/2010/wordprocessingShape">
                    <wps:wsp>
                      <wps:cNvSpPr/>
                      <wps:spPr>
                        <a:xfrm>
                          <a:off x="0" y="0"/>
                          <a:ext cx="573405" cy="567055"/>
                        </a:xfrm>
                        <a:prstGeom prst="rect">
                          <a:avLst/>
                        </a:prstGeom>
                        <a:solidFill>
                          <a:srgbClr val="C0504D"/>
                        </a:solidFill>
                        <a:ln w="38100" cap="flat" cmpd="sng">
                          <a:solidFill>
                            <a:srgbClr val="F2F2F2"/>
                          </a:solidFill>
                          <a:prstDash val="solid"/>
                          <a:miter/>
                          <a:headEnd type="none" w="med" len="med"/>
                          <a:tailEnd type="none" w="med" len="med"/>
                        </a:ln>
                        <a:effectLst>
                          <a:outerShdw dist="28398" dir="3806096" algn="ctr" rotWithShape="0">
                            <a:srgbClr val="622423">
                              <a:alpha val="50000"/>
                            </a:srgbClr>
                          </a:outerShdw>
                        </a:effectLst>
                      </wps:spPr>
                      <wps:bodyPr upright="1"/>
                    </wps:wsp>
                  </a:graphicData>
                </a:graphic>
              </wp:anchor>
            </w:drawing>
          </mc:Choice>
          <mc:Fallback>
            <w:pict>
              <v:rect id="_x0000_s1026" o:spid="_x0000_s1026" o:spt="1" style="position:absolute;left:0pt;margin-left:398.95pt;margin-top:405.85pt;height:44.65pt;width:45.15pt;z-index:251761664;mso-width-relative:page;mso-height-relative:page;" fillcolor="#C0504D" filled="t" stroked="t" coordsize="21600,21600" o:gfxdata="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pvBZ9gAAAALAQAADwAAAAAAAAABACAA&#10;AAAiAAAAZHJzL2Rvd25yZXYueG1sUEsBAhQAFAAAAAgAh07iQE++7F9GAgAAzQQAAA4AAAAAAAAA&#10;AQAgAAAAJwEAAGRycy9lMm9Eb2MueG1sUEsFBgAAAAAGAAYAWQEAAN8FAAAAAA==&#10;">
                <v:fill on="t" focussize="0,0"/>
                <v:stroke weight="3pt" color="#F2F2F2" joinstyle="miter"/>
                <v:imagedata o:title=""/>
                <o:lock v:ext="edit" aspectratio="f"/>
                <v:shadow on="t" color="#622423" opacity="32768f" offset="1pt,2pt" origin="0f,0f" matrix="65536f,0f,0f,65536f"/>
              </v:rect>
            </w:pict>
          </mc:Fallback>
        </mc:AlternateContent>
      </w:r>
      <w:r>
        <w:rPr>
          <w:color w:val="000000"/>
          <w:lang w:val="id-ID" w:eastAsia="id-ID"/>
        </w:rPr>
        <mc:AlternateContent>
          <mc:Choice Requires="wps">
            <w:drawing>
              <wp:anchor distT="0" distB="0" distL="114300" distR="114300" simplePos="0" relativeHeight="251760640" behindDoc="0" locked="0" layoutInCell="1" allowOverlap="1">
                <wp:simplePos x="0" y="0"/>
                <wp:positionH relativeFrom="column">
                  <wp:posOffset>4406265</wp:posOffset>
                </wp:positionH>
                <wp:positionV relativeFrom="paragraph">
                  <wp:posOffset>5144770</wp:posOffset>
                </wp:positionV>
                <wp:extent cx="573405" cy="567055"/>
                <wp:effectExtent l="19050" t="19050" r="36195" b="61595"/>
                <wp:wrapNone/>
                <wp:docPr id="109" name="Rectangles 109"/>
                <wp:cNvGraphicFramePr/>
                <a:graphic xmlns:a="http://schemas.openxmlformats.org/drawingml/2006/main">
                  <a:graphicData uri="http://schemas.microsoft.com/office/word/2010/wordprocessingShape">
                    <wps:wsp>
                      <wps:cNvSpPr/>
                      <wps:spPr>
                        <a:xfrm>
                          <a:off x="0" y="0"/>
                          <a:ext cx="573405" cy="567055"/>
                        </a:xfrm>
                        <a:prstGeom prst="rect">
                          <a:avLst/>
                        </a:prstGeom>
                        <a:solidFill>
                          <a:srgbClr val="8064A2"/>
                        </a:solidFill>
                        <a:ln w="38100" cap="flat" cmpd="sng">
                          <a:solidFill>
                            <a:srgbClr val="F2F2F2"/>
                          </a:solidFill>
                          <a:prstDash val="solid"/>
                          <a:miter/>
                          <a:headEnd type="none" w="med" len="med"/>
                          <a:tailEnd type="none" w="med" len="med"/>
                        </a:ln>
                        <a:effectLst>
                          <a:outerShdw dist="28398" dir="3806096" algn="ctr" rotWithShape="0">
                            <a:srgbClr val="3F3151">
                              <a:alpha val="50000"/>
                            </a:srgbClr>
                          </a:outerShdw>
                        </a:effectLst>
                      </wps:spPr>
                      <wps:bodyPr upright="1"/>
                    </wps:wsp>
                  </a:graphicData>
                </a:graphic>
              </wp:anchor>
            </w:drawing>
          </mc:Choice>
          <mc:Fallback>
            <w:pict>
              <v:rect id="_x0000_s1026" o:spid="_x0000_s1026" o:spt="1" style="position:absolute;left:0pt;margin-left:346.95pt;margin-top:405.1pt;height:44.65pt;width:45.15pt;z-index:251760640;mso-width-relative:page;mso-height-relative:page;" fillcolor="#8064A2" filled="t" stroked="t" coordsize="21600,21600" o:gfxdata="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BzXn9cAAAALAQAADwAAAAAAAAABACAA&#10;AAAiAAAAZHJzL2Rvd25yZXYueG1sUEsBAhQAFAAAAAgAh07iQOKR10pHAgAAzQQAAA4AAAAAAAAA&#10;AQAgAAAAJgEAAGRycy9lMm9Eb2MueG1sUEsFBgAAAAAGAAYAWQEAAN8FAAAAAA==&#10;">
                <v:fill on="t" focussize="0,0"/>
                <v:stroke weight="3pt" color="#F2F2F2" joinstyle="miter"/>
                <v:imagedata o:title=""/>
                <o:lock v:ext="edit" aspectratio="f"/>
                <v:shadow on="t" color="#3F3151" opacity="32768f" offset="1pt,2pt" origin="0f,0f" matrix="65536f,0f,0f,65536f"/>
              </v:rect>
            </w:pict>
          </mc:Fallback>
        </mc:AlternateContent>
      </w:r>
      <w:r>
        <w:rPr>
          <w:color w:val="000000"/>
          <w:lang w:val="id-ID" w:eastAsia="id-ID"/>
        </w:rPr>
        <mc:AlternateContent>
          <mc:Choice Requires="wps">
            <w:drawing>
              <wp:anchor distT="0" distB="0" distL="114300" distR="114300" simplePos="0" relativeHeight="251757568" behindDoc="0" locked="0" layoutInCell="1" allowOverlap="1">
                <wp:simplePos x="0" y="0"/>
                <wp:positionH relativeFrom="column">
                  <wp:posOffset>2425065</wp:posOffset>
                </wp:positionH>
                <wp:positionV relativeFrom="paragraph">
                  <wp:posOffset>5119370</wp:posOffset>
                </wp:positionV>
                <wp:extent cx="573405" cy="567055"/>
                <wp:effectExtent l="19050" t="19050" r="36195" b="61595"/>
                <wp:wrapNone/>
                <wp:docPr id="116" name="Rectangles 116"/>
                <wp:cNvGraphicFramePr/>
                <a:graphic xmlns:a="http://schemas.openxmlformats.org/drawingml/2006/main">
                  <a:graphicData uri="http://schemas.microsoft.com/office/word/2010/wordprocessingShape">
                    <wps:wsp>
                      <wps:cNvSpPr/>
                      <wps:spPr>
                        <a:xfrm>
                          <a:off x="0" y="0"/>
                          <a:ext cx="573405" cy="567055"/>
                        </a:xfrm>
                        <a:prstGeom prst="rect">
                          <a:avLst/>
                        </a:prstGeom>
                        <a:solidFill>
                          <a:srgbClr val="4BACC6"/>
                        </a:solidFill>
                        <a:ln w="38100" cap="flat" cmpd="sng">
                          <a:solidFill>
                            <a:srgbClr val="F2F2F2"/>
                          </a:solidFill>
                          <a:prstDash val="solid"/>
                          <a:miter/>
                          <a:headEnd type="none" w="med" len="med"/>
                          <a:tailEnd type="none" w="med" len="med"/>
                        </a:ln>
                        <a:effectLst>
                          <a:outerShdw dist="28398" dir="3806096" algn="ctr" rotWithShape="0">
                            <a:srgbClr val="205867">
                              <a:alpha val="50000"/>
                            </a:srgbClr>
                          </a:outerShdw>
                        </a:effectLst>
                      </wps:spPr>
                      <wps:bodyPr upright="1"/>
                    </wps:wsp>
                  </a:graphicData>
                </a:graphic>
              </wp:anchor>
            </w:drawing>
          </mc:Choice>
          <mc:Fallback>
            <w:pict>
              <v:rect id="_x0000_s1026" o:spid="_x0000_s1026" o:spt="1" style="position:absolute;left:0pt;margin-left:190.95pt;margin-top:403.1pt;height:44.65pt;width:45.15pt;z-index:251757568;mso-width-relative:page;mso-height-relative:page;" fillcolor="#4BACC6" filled="t" stroked="t" coordsize="21600,21600" o:gfxdata="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JdKNe2QAAAAsBAAAPAAAA&#10;AAAAAAEAIAAAACIAAABkcnMvZG93bnJldi54bWxQSwECFAAUAAAACACHTuJAhlVVC00CAADNBAAA&#10;DgAAAAAAAAABACAAAAAoAQAAZHJzL2Uyb0RvYy54bWxQSwUGAAAAAAYABgBZAQAA5wUAAAAA&#10;">
                <v:fill on="t" focussize="0,0"/>
                <v:stroke weight="3pt" color="#F2F2F2" joinstyle="miter"/>
                <v:imagedata o:title=""/>
                <o:lock v:ext="edit" aspectratio="f"/>
                <v:shadow on="t" color="#205867" opacity="32768f" offset="1pt,2pt" origin="0f,0f" matrix="65536f,0f,0f,65536f"/>
              </v:rect>
            </w:pict>
          </mc:Fallback>
        </mc:AlternateContent>
      </w:r>
      <w:r>
        <w:rPr>
          <w:color w:val="000000"/>
          <w:lang w:val="id-ID" w:eastAsia="id-ID"/>
        </w:rPr>
        <mc:AlternateContent>
          <mc:Choice Requires="wps">
            <w:drawing>
              <wp:anchor distT="0" distB="0" distL="114300" distR="114300" simplePos="0" relativeHeight="251756544" behindDoc="0" locked="0" layoutInCell="1" allowOverlap="1">
                <wp:simplePos x="0" y="0"/>
                <wp:positionH relativeFrom="column">
                  <wp:posOffset>1764665</wp:posOffset>
                </wp:positionH>
                <wp:positionV relativeFrom="paragraph">
                  <wp:posOffset>5109845</wp:posOffset>
                </wp:positionV>
                <wp:extent cx="573405" cy="567055"/>
                <wp:effectExtent l="19050" t="19050" r="36195" b="61595"/>
                <wp:wrapNone/>
                <wp:docPr id="115" name="Rectangles 115"/>
                <wp:cNvGraphicFramePr/>
                <a:graphic xmlns:a="http://schemas.openxmlformats.org/drawingml/2006/main">
                  <a:graphicData uri="http://schemas.microsoft.com/office/word/2010/wordprocessingShape">
                    <wps:wsp>
                      <wps:cNvSpPr/>
                      <wps:spPr>
                        <a:xfrm>
                          <a:off x="0" y="0"/>
                          <a:ext cx="573405" cy="567055"/>
                        </a:xfrm>
                        <a:prstGeom prst="rect">
                          <a:avLst/>
                        </a:prstGeom>
                        <a:solidFill>
                          <a:srgbClr val="8064A2"/>
                        </a:solidFill>
                        <a:ln w="38100" cap="flat" cmpd="sng">
                          <a:solidFill>
                            <a:srgbClr val="F2F2F2"/>
                          </a:solidFill>
                          <a:prstDash val="solid"/>
                          <a:miter/>
                          <a:headEnd type="none" w="med" len="med"/>
                          <a:tailEnd type="none" w="med" len="med"/>
                        </a:ln>
                        <a:effectLst>
                          <a:outerShdw dist="28398" dir="3806096" algn="ctr" rotWithShape="0">
                            <a:srgbClr val="3F3151">
                              <a:alpha val="50000"/>
                            </a:srgbClr>
                          </a:outerShdw>
                        </a:effectLst>
                      </wps:spPr>
                      <wps:bodyPr upright="1"/>
                    </wps:wsp>
                  </a:graphicData>
                </a:graphic>
              </wp:anchor>
            </w:drawing>
          </mc:Choice>
          <mc:Fallback>
            <w:pict>
              <v:rect id="_x0000_s1026" o:spid="_x0000_s1026" o:spt="1" style="position:absolute;left:0pt;margin-left:138.95pt;margin-top:402.35pt;height:44.65pt;width:45.15pt;z-index:251756544;mso-width-relative:page;mso-height-relative:page;" fillcolor="#8064A2" filled="t" stroked="t" coordsize="21600,21600" o:gfxdata="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DnswrXAAAACwEAAA8AAAAAAAAA&#10;AQAgAAAAIgAAAGRycy9kb3ducmV2LnhtbFBLAQIUABQAAAAIAIdO4kA7vAm3SwIAAM0EAAAOAAAA&#10;AAAAAAEAIAAAACYBAABkcnMvZTJvRG9jLnhtbFBLBQYAAAAABgAGAFkBAADjBQAAAAA=&#10;">
                <v:fill on="t" focussize="0,0"/>
                <v:stroke weight="3pt" color="#F2F2F2" joinstyle="miter"/>
                <v:imagedata o:title=""/>
                <o:lock v:ext="edit" aspectratio="f"/>
                <v:shadow on="t" color="#3F3151" opacity="32768f" offset="1pt,2pt" origin="0f,0f" matrix="65536f,0f,0f,65536f"/>
              </v:rect>
            </w:pict>
          </mc:Fallback>
        </mc:AlternateContent>
      </w:r>
      <w:r>
        <w:rPr>
          <w:color w:val="000000"/>
          <w:lang w:val="id-ID" w:eastAsia="id-ID"/>
        </w:rPr>
        <mc:AlternateContent>
          <mc:Choice Requires="wps">
            <w:drawing>
              <wp:anchor distT="0" distB="0" distL="114300" distR="114300" simplePos="0" relativeHeight="251743232" behindDoc="0" locked="0" layoutInCell="1" allowOverlap="1">
                <wp:simplePos x="0" y="0"/>
                <wp:positionH relativeFrom="column">
                  <wp:posOffset>4853305</wp:posOffset>
                </wp:positionH>
                <wp:positionV relativeFrom="paragraph">
                  <wp:posOffset>40005</wp:posOffset>
                </wp:positionV>
                <wp:extent cx="260985" cy="237490"/>
                <wp:effectExtent l="19050" t="19050" r="43815" b="48260"/>
                <wp:wrapNone/>
                <wp:docPr id="112" name="Oval 112"/>
                <wp:cNvGraphicFramePr/>
                <a:graphic xmlns:a="http://schemas.openxmlformats.org/drawingml/2006/main">
                  <a:graphicData uri="http://schemas.microsoft.com/office/word/2010/wordprocessingShape">
                    <wps:wsp>
                      <wps:cNvSpPr/>
                      <wps:spPr>
                        <a:xfrm>
                          <a:off x="0" y="0"/>
                          <a:ext cx="260985" cy="237490"/>
                        </a:xfrm>
                        <a:prstGeom prst="ellipse">
                          <a:avLst/>
                        </a:prstGeom>
                        <a:solidFill>
                          <a:srgbClr val="FF0000"/>
                        </a:solidFill>
                        <a:ln w="38100" cap="flat" cmpd="sng">
                          <a:solidFill>
                            <a:srgbClr val="F2F2F2"/>
                          </a:solidFill>
                          <a:prstDash val="solid"/>
                          <a:headEnd type="none" w="med" len="med"/>
                          <a:tailEnd type="none" w="med" len="med"/>
                        </a:ln>
                        <a:effectLst>
                          <a:outerShdw dist="28398" dir="3806096" algn="ctr" rotWithShape="0">
                            <a:srgbClr val="7F7F7F">
                              <a:alpha val="50000"/>
                            </a:srgbClr>
                          </a:outerShdw>
                        </a:effectLst>
                      </wps:spPr>
                      <wps:bodyPr upright="1"/>
                    </wps:wsp>
                  </a:graphicData>
                </a:graphic>
              </wp:anchor>
            </w:drawing>
          </mc:Choice>
          <mc:Fallback>
            <w:pict>
              <v:shape id="_x0000_s1026" o:spid="_x0000_s1026" o:spt="3" type="#_x0000_t3" style="position:absolute;left:0pt;margin-left:382.15pt;margin-top:3.15pt;height:18.7pt;width:20.55pt;z-index:251743232;mso-width-relative:page;mso-height-relative:page;" fillcolor="#FF0000" filled="t" stroked="t" coordsize="21600,21600" o:gfxdata="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JahkdkAAAAIAQAADwAAAAAAAAABACAAAAAiAAAAZHJz&#10;L2Rvd25yZXYueG1sUEsBAhQAFAAAAAgAh07iQL2Ut2g8AgAAwAQAAA4AAAAAAAAAAQAgAAAAKAEA&#10;AGRycy9lMm9Eb2MueG1sUEsFBgAAAAAGAAYAWQEAANYFAAAAAA==&#10;">
                <v:fill on="t" focussize="0,0"/>
                <v:stroke weight="3pt" color="#F2F2F2" joinstyle="round"/>
                <v:imagedata o:title=""/>
                <o:lock v:ext="edit" aspectratio="f"/>
                <v:shadow on="t" color="#7F7F7F" opacity="32768f" offset="1pt,2pt" origin="0f,0f" matrix="65536f,0f,0f,65536f"/>
              </v:shape>
            </w:pict>
          </mc:Fallback>
        </mc:AlternateContent>
      </w:r>
      <w:r>
        <w:rPr>
          <w:color w:val="000000"/>
          <w:lang w:val="id-ID" w:eastAsia="id-ID"/>
        </w:rPr>
        <mc:AlternateContent>
          <mc:Choice Requires="wps">
            <w:drawing>
              <wp:anchor distT="0" distB="0" distL="114300" distR="114300" simplePos="0" relativeHeight="251744256" behindDoc="0" locked="0" layoutInCell="1" allowOverlap="1">
                <wp:simplePos x="0" y="0"/>
                <wp:positionH relativeFrom="column">
                  <wp:posOffset>5231765</wp:posOffset>
                </wp:positionH>
                <wp:positionV relativeFrom="paragraph">
                  <wp:posOffset>40005</wp:posOffset>
                </wp:positionV>
                <wp:extent cx="260985" cy="237490"/>
                <wp:effectExtent l="19050" t="19050" r="43815" b="48260"/>
                <wp:wrapNone/>
                <wp:docPr id="93" name="Oval 4"/>
                <wp:cNvGraphicFramePr/>
                <a:graphic xmlns:a="http://schemas.openxmlformats.org/drawingml/2006/main">
                  <a:graphicData uri="http://schemas.microsoft.com/office/word/2010/wordprocessingShape">
                    <wps:wsp>
                      <wps:cNvSpPr/>
                      <wps:spPr>
                        <a:xfrm>
                          <a:off x="0" y="0"/>
                          <a:ext cx="260985" cy="237490"/>
                        </a:xfrm>
                        <a:prstGeom prst="ellipse">
                          <a:avLst/>
                        </a:prstGeom>
                        <a:solidFill>
                          <a:srgbClr val="FFC000"/>
                        </a:solidFill>
                        <a:ln w="38100" cap="flat" cmpd="sng">
                          <a:solidFill>
                            <a:srgbClr val="F2F2F2"/>
                          </a:solidFill>
                          <a:prstDash val="solid"/>
                          <a:headEnd type="none" w="med" len="med"/>
                          <a:tailEnd type="none" w="med" len="med"/>
                        </a:ln>
                        <a:effectLst>
                          <a:outerShdw dist="28398" dir="3806096" algn="ctr" rotWithShape="0">
                            <a:srgbClr val="7F7F7F">
                              <a:alpha val="50000"/>
                            </a:srgbClr>
                          </a:outerShdw>
                        </a:effectLst>
                      </wps:spPr>
                      <wps:bodyPr upright="1"/>
                    </wps:wsp>
                  </a:graphicData>
                </a:graphic>
              </wp:anchor>
            </w:drawing>
          </mc:Choice>
          <mc:Fallback>
            <w:pict>
              <v:shape id="Oval 4" o:spid="_x0000_s1026" o:spt="3" type="#_x0000_t3" style="position:absolute;left:0pt;margin-left:411.95pt;margin-top:3.15pt;height:18.7pt;width:20.55pt;z-index:251744256;mso-width-relative:page;mso-height-relative:page;" fillcolor="#FFC000" filled="t" stroked="t" coordsize="21600,21600" o:gfxdata="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BuZG9kAAAAIAQAADwAAAAAAAAABACAAAAAiAAAA&#10;ZHJzL2Rvd25yZXYueG1sUEsBAhQAFAAAAAgAh07iQFJohkE/AgAAvQQAAA4AAAAAAAAAAQAgAAAA&#10;KAEAAGRycy9lMm9Eb2MueG1sUEsFBgAAAAAGAAYAWQEAANkFAAAAAA==&#10;">
                <v:fill on="t" focussize="0,0"/>
                <v:stroke weight="3pt" color="#F2F2F2" joinstyle="round"/>
                <v:imagedata o:title=""/>
                <o:lock v:ext="edit" aspectratio="f"/>
                <v:shadow on="t" color="#7F7F7F" opacity="32768f" offset="1pt,2pt" origin="0f,0f" matrix="65536f,0f,0f,65536f"/>
              </v:shape>
            </w:pict>
          </mc:Fallback>
        </mc:AlternateContent>
      </w:r>
      <w:r>
        <w:rPr>
          <w:color w:val="000000"/>
          <w:lang w:val="id-ID" w:eastAsia="id-ID"/>
        </w:rPr>
        <mc:AlternateContent>
          <mc:Choice Requires="wps">
            <w:drawing>
              <wp:anchor distT="0" distB="0" distL="114300" distR="114300" simplePos="0" relativeHeight="251745280" behindDoc="0" locked="0" layoutInCell="1" allowOverlap="1">
                <wp:simplePos x="0" y="0"/>
                <wp:positionH relativeFrom="column">
                  <wp:posOffset>5598160</wp:posOffset>
                </wp:positionH>
                <wp:positionV relativeFrom="paragraph">
                  <wp:posOffset>40005</wp:posOffset>
                </wp:positionV>
                <wp:extent cx="260985" cy="237490"/>
                <wp:effectExtent l="19050" t="19050" r="43815" b="48260"/>
                <wp:wrapNone/>
                <wp:docPr id="94" name="Oval 9"/>
                <wp:cNvGraphicFramePr/>
                <a:graphic xmlns:a="http://schemas.openxmlformats.org/drawingml/2006/main">
                  <a:graphicData uri="http://schemas.microsoft.com/office/word/2010/wordprocessingShape">
                    <wps:wsp>
                      <wps:cNvSpPr/>
                      <wps:spPr>
                        <a:xfrm>
                          <a:off x="0" y="0"/>
                          <a:ext cx="260985" cy="237490"/>
                        </a:xfrm>
                        <a:prstGeom prst="ellipse">
                          <a:avLst/>
                        </a:prstGeom>
                        <a:solidFill>
                          <a:srgbClr val="000000"/>
                        </a:solidFill>
                        <a:ln w="38100" cap="flat" cmpd="sng">
                          <a:solidFill>
                            <a:srgbClr val="F2F2F2"/>
                          </a:solidFill>
                          <a:prstDash val="solid"/>
                          <a:headEnd type="none" w="med" len="med"/>
                          <a:tailEnd type="none" w="med" len="med"/>
                        </a:ln>
                        <a:effectLst>
                          <a:outerShdw dist="28398" dir="3806096" algn="ctr" rotWithShape="0">
                            <a:srgbClr val="7F7F7F">
                              <a:alpha val="50000"/>
                            </a:srgbClr>
                          </a:outerShdw>
                        </a:effectLst>
                      </wps:spPr>
                      <wps:bodyPr upright="1"/>
                    </wps:wsp>
                  </a:graphicData>
                </a:graphic>
              </wp:anchor>
            </w:drawing>
          </mc:Choice>
          <mc:Fallback>
            <w:pict>
              <v:shape id="Oval 9" o:spid="_x0000_s1026" o:spt="3" type="#_x0000_t3" style="position:absolute;left:0pt;margin-left:440.8pt;margin-top:3.15pt;height:18.7pt;width:20.55pt;z-index:251745280;mso-width-relative:page;mso-height-relative:page;" fillcolor="#000000" filled="t" stroked="t" coordsize="21600,21600" o:gfxdata="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z3qc3XAAAACAEAAA8AAAAAAAAAAQAgAAAAIgAAAGRycy9k&#10;b3ducmV2LnhtbFBLAQIUABQAAAAIAIdO4kDxOVOjPAIAAL0EAAAOAAAAAAAAAAEAIAAAACYBAABk&#10;cnMvZTJvRG9jLnhtbFBLBQYAAAAABgAGAFkBAADUBQAAAAA=&#10;">
                <v:fill on="t" focussize="0,0"/>
                <v:stroke weight="3pt" color="#F2F2F2" joinstyle="round"/>
                <v:imagedata o:title=""/>
                <o:lock v:ext="edit" aspectratio="f"/>
                <v:shadow on="t" color="#7F7F7F" opacity="32768f" offset="1pt,2pt" origin="0f,0f" matrix="65536f,0f,0f,65536f"/>
              </v:shape>
            </w:pict>
          </mc:Fallback>
        </mc:AlternateContent>
      </w:r>
      <w:r>
        <w:rPr>
          <w:color w:val="000000"/>
        </w:rPr>
        <w:br w:type="page"/>
      </w:r>
    </w:p>
    <w:p>
      <w:pPr>
        <w:spacing w:after="180" w:line="360" w:lineRule="auto"/>
        <w:jc w:val="both"/>
        <w:rPr>
          <w:rFonts w:cs="MyriadPro-BoldSemiCnIt"/>
          <w:b/>
          <w:bCs/>
          <w:i/>
          <w:iCs/>
          <w:color w:val="000000"/>
          <w:sz w:val="26"/>
          <w:szCs w:val="26"/>
        </w:rPr>
      </w:pPr>
      <w:r>
        <w:rPr>
          <w:rFonts w:cs="MyriadPro-BoldSemiCnIt"/>
          <w:b/>
          <w:bCs/>
          <w:i/>
          <w:iCs/>
          <w:color w:val="000000"/>
          <w:sz w:val="80"/>
          <w:szCs w:val="80"/>
        </w:rPr>
        <w:t>Kata Pengantar</w:t>
      </w:r>
      <w:r>
        <w:rPr>
          <w:rFonts w:cs="MyriadPro-BoldSemiCnIt"/>
          <w:b/>
          <w:bCs/>
          <w:i/>
          <w:iCs/>
          <w:color w:val="000000"/>
          <w:sz w:val="26"/>
          <w:szCs w:val="26"/>
        </w:rPr>
        <w:tab/>
      </w:r>
    </w:p>
    <w:p>
      <w:pPr>
        <w:spacing w:after="120" w:line="360" w:lineRule="auto"/>
        <w:jc w:val="both"/>
        <w:rPr>
          <w:rFonts w:ascii="Tahoma" w:hAnsi="Tahoma" w:cs="Tahoma"/>
          <w:color w:val="000000"/>
          <w:lang w:val="id-ID"/>
        </w:rPr>
      </w:pPr>
      <w:r>
        <w:rPr>
          <w:rFonts w:ascii="Tahoma" w:hAnsi="Tahoma" w:cs="Tahoma"/>
          <w:color w:val="000000"/>
        </w:rPr>
        <w:t xml:space="preserve">Syukur Alhamdulillah kami </w:t>
      </w:r>
      <w:r>
        <w:rPr>
          <w:rFonts w:hint="default" w:ascii="Tahoma" w:hAnsi="Tahoma" w:cs="Tahoma"/>
          <w:color w:val="000000"/>
          <w:lang w:val="en-US"/>
        </w:rPr>
        <w:t>ucap</w:t>
      </w:r>
      <w:r>
        <w:rPr>
          <w:rFonts w:ascii="Tahoma" w:hAnsi="Tahoma" w:cs="Tahoma"/>
          <w:color w:val="000000"/>
        </w:rPr>
        <w:t xml:space="preserve">kan ke hadirat Allah SWT, </w:t>
      </w:r>
      <w:r>
        <w:rPr>
          <w:rFonts w:ascii="Tahoma" w:hAnsi="Tahoma" w:cs="Tahoma"/>
          <w:color w:val="000000"/>
          <w:lang w:val="id-ID"/>
        </w:rPr>
        <w:t xml:space="preserve">karena atas Rahmat Allah Badan Keuangan Daerah dapat menyelesaikan penyusunan Laporan </w:t>
      </w:r>
      <w:r>
        <w:rPr>
          <w:rFonts w:ascii="Tahoma" w:hAnsi="Tahoma" w:cs="Tahoma"/>
          <w:color w:val="000000"/>
        </w:rPr>
        <w:t xml:space="preserve">Kinerja </w:t>
      </w:r>
      <w:r>
        <w:rPr>
          <w:rFonts w:ascii="Tahoma" w:hAnsi="Tahoma" w:cs="Tahoma"/>
          <w:color w:val="000000"/>
          <w:lang w:val="id-ID"/>
        </w:rPr>
        <w:t>Badan Keuangan Daerah Provinsi Sumatera Barat Tahun 20</w:t>
      </w:r>
      <w:r>
        <w:rPr>
          <w:rFonts w:ascii="Tahoma" w:hAnsi="Tahoma" w:cs="Tahoma"/>
          <w:color w:val="000000"/>
        </w:rPr>
        <w:t>20</w:t>
      </w:r>
      <w:r>
        <w:rPr>
          <w:rFonts w:ascii="Tahoma" w:hAnsi="Tahoma" w:cs="Tahoma"/>
          <w:color w:val="000000"/>
          <w:lang w:val="id-ID"/>
        </w:rPr>
        <w:t>.</w:t>
      </w:r>
    </w:p>
    <w:p>
      <w:pPr>
        <w:spacing w:after="120" w:line="360" w:lineRule="auto"/>
        <w:jc w:val="both"/>
        <w:rPr>
          <w:rFonts w:ascii="Tahoma" w:hAnsi="Tahoma" w:cs="Tahoma"/>
          <w:color w:val="000000"/>
          <w:lang w:val="id-ID"/>
        </w:rPr>
      </w:pPr>
      <w:r>
        <w:rPr>
          <w:rFonts w:ascii="Tahoma" w:hAnsi="Tahoma" w:cs="Tahoma"/>
          <w:color w:val="000000"/>
        </w:rPr>
        <w:t>Sesuai In</w:t>
      </w:r>
      <w:r>
        <w:rPr>
          <w:rFonts w:ascii="Tahoma" w:hAnsi="Tahoma" w:cs="Tahoma"/>
          <w:color w:val="000000"/>
          <w:lang w:val="id-ID"/>
        </w:rPr>
        <w:t>struksi Presiden (Inpres)</w:t>
      </w:r>
      <w:r>
        <w:rPr>
          <w:rFonts w:ascii="Tahoma" w:hAnsi="Tahoma" w:cs="Tahoma"/>
          <w:color w:val="000000"/>
        </w:rPr>
        <w:t xml:space="preserve"> Nomor 7 Tahun 1999 tentang Akuntabilitas Kinerja Instansi Pemerintah</w:t>
      </w:r>
      <w:r>
        <w:rPr>
          <w:rFonts w:ascii="Tahoma" w:hAnsi="Tahoma" w:cs="Tahoma"/>
          <w:color w:val="000000"/>
          <w:lang w:val="id-ID"/>
        </w:rPr>
        <w:t xml:space="preserve"> dan Peraturan Menteri Pendayagunaan Aparatur Negara dan Reformasi Birokrasi Nomor 53 Tahun 2014 tentang Petunjuk Teknis Perjanjian Kinerja, Pelaporan Kinerja dan Tata Cara Reviu atas </w:t>
      </w:r>
      <w:r>
        <w:rPr>
          <w:rFonts w:ascii="Tahoma" w:hAnsi="Tahoma" w:cs="Tahoma"/>
          <w:color w:val="000000"/>
        </w:rPr>
        <w:t>L</w:t>
      </w:r>
      <w:r>
        <w:rPr>
          <w:rFonts w:ascii="Tahoma" w:hAnsi="Tahoma" w:cs="Tahoma"/>
          <w:color w:val="000000"/>
          <w:lang w:val="id-ID"/>
        </w:rPr>
        <w:t xml:space="preserve">aporan Kinerja Instansi Pemerintah serta Surat Edaran Gubernur Sumatera Barat </w:t>
      </w:r>
      <w:r>
        <w:rPr>
          <w:rFonts w:ascii="Tahoma" w:hAnsi="Tahoma" w:cs="Tahoma"/>
          <w:color w:val="000000"/>
        </w:rPr>
        <w:t xml:space="preserve">Nomor </w:t>
      </w:r>
      <w:r>
        <w:rPr>
          <w:rFonts w:ascii="Tahoma" w:hAnsi="Tahoma" w:cs="Tahoma"/>
        </w:rPr>
        <w:t>065/3979/ED/GSB-2019 tanggal 9 Desember 2019 perihal Penyampaian Hasil Pengukuran Kinerja Pemerintah Provinsi Sumatera Barat Tahun 2020 dan Penyampaian Laporan Kinerja Perangkat Daerah Tahun 2020,</w:t>
      </w:r>
      <w:r>
        <w:rPr>
          <w:rFonts w:ascii="Tahoma" w:hAnsi="Tahoma" w:cs="Tahoma"/>
          <w:color w:val="000000"/>
          <w:lang w:val="id-ID"/>
        </w:rPr>
        <w:t xml:space="preserve">maka Badan Keuangan Daerah Provinsi Sumatera Barat sebagai </w:t>
      </w:r>
      <w:r>
        <w:rPr>
          <w:rFonts w:ascii="Tahoma" w:hAnsi="Tahoma" w:cs="Tahoma"/>
          <w:color w:val="000000"/>
        </w:rPr>
        <w:t>s</w:t>
      </w:r>
      <w:r>
        <w:rPr>
          <w:rFonts w:ascii="Tahoma" w:hAnsi="Tahoma" w:cs="Tahoma"/>
          <w:color w:val="000000"/>
          <w:lang w:val="id-ID"/>
        </w:rPr>
        <w:t xml:space="preserve">alah satu OPD Pemerintah Provinsi </w:t>
      </w:r>
      <w:r>
        <w:rPr>
          <w:rFonts w:ascii="Tahoma" w:hAnsi="Tahoma" w:cs="Tahoma"/>
          <w:color w:val="000000"/>
        </w:rPr>
        <w:t>S</w:t>
      </w:r>
      <w:r>
        <w:rPr>
          <w:rFonts w:ascii="Tahoma" w:hAnsi="Tahoma" w:cs="Tahoma"/>
          <w:color w:val="000000"/>
          <w:lang w:val="id-ID"/>
        </w:rPr>
        <w:t xml:space="preserve">umatera Barat dan unsur penyelenggara negara di lingkungan Pemerintah Provinsi Sumatera Barat diwajibkan menyampaikan Laporan Kinerja OPD Provinsi. </w:t>
      </w:r>
    </w:p>
    <w:p>
      <w:pPr>
        <w:spacing w:after="120" w:line="360" w:lineRule="auto"/>
        <w:jc w:val="both"/>
        <w:rPr>
          <w:rFonts w:ascii="Tahoma" w:hAnsi="Tahoma" w:cs="Tahoma"/>
          <w:color w:val="000000"/>
          <w:lang w:val="id-ID"/>
        </w:rPr>
      </w:pPr>
      <w:r>
        <w:rPr>
          <w:rFonts w:ascii="Tahoma" w:hAnsi="Tahoma" w:cs="Tahoma"/>
          <w:color w:val="000000"/>
        </w:rPr>
        <w:t xml:space="preserve">Laporan Akuntabilitas Kinerja </w:t>
      </w:r>
      <w:r>
        <w:rPr>
          <w:rFonts w:ascii="Tahoma" w:hAnsi="Tahoma" w:cs="Tahoma"/>
          <w:color w:val="000000"/>
          <w:lang w:val="id-ID"/>
        </w:rPr>
        <w:t xml:space="preserve">Badan Keuangan Daerah Provinsi Sumatera Barat </w:t>
      </w:r>
      <w:r>
        <w:rPr>
          <w:rFonts w:ascii="Tahoma" w:hAnsi="Tahoma" w:cs="Tahoma"/>
          <w:color w:val="000000"/>
        </w:rPr>
        <w:t>T</w:t>
      </w:r>
      <w:r>
        <w:rPr>
          <w:rFonts w:ascii="Tahoma" w:hAnsi="Tahoma" w:cs="Tahoma"/>
          <w:color w:val="000000"/>
          <w:lang w:val="id-ID"/>
        </w:rPr>
        <w:t xml:space="preserve">ahun </w:t>
      </w:r>
      <w:r>
        <w:rPr>
          <w:rFonts w:ascii="Tahoma" w:hAnsi="Tahoma" w:cs="Tahoma"/>
          <w:color w:val="000000"/>
        </w:rPr>
        <w:t>2020</w:t>
      </w:r>
      <w:r>
        <w:rPr>
          <w:rFonts w:ascii="Tahoma" w:hAnsi="Tahoma" w:cs="Tahoma"/>
          <w:color w:val="000000"/>
          <w:lang w:val="id-ID"/>
        </w:rPr>
        <w:t xml:space="preserve"> merupakan perwujudan akuntabilitas dan transparansi kinerja Badan Keuangan Daerah yang </w:t>
      </w:r>
      <w:r>
        <w:rPr>
          <w:rFonts w:ascii="Tahoma" w:hAnsi="Tahoma" w:cs="Tahoma"/>
          <w:color w:val="000000"/>
        </w:rPr>
        <w:t>di</w:t>
      </w:r>
      <w:r>
        <w:rPr>
          <w:rFonts w:ascii="Tahoma" w:hAnsi="Tahoma" w:cs="Tahoma"/>
          <w:color w:val="000000"/>
          <w:lang w:val="id-ID"/>
        </w:rPr>
        <w:t>dalamnya  menguraikan  rencana kerja yang telah di tetapkan, pencapaian atas rencana kinerja tersebut</w:t>
      </w:r>
      <w:r>
        <w:rPr>
          <w:rFonts w:ascii="Tahoma" w:hAnsi="Tahoma" w:cs="Tahoma"/>
          <w:color w:val="000000"/>
        </w:rPr>
        <w:t>,</w:t>
      </w:r>
      <w:r>
        <w:rPr>
          <w:rFonts w:ascii="Tahoma" w:hAnsi="Tahoma" w:cs="Tahoma"/>
          <w:color w:val="000000"/>
          <w:lang w:val="id-ID"/>
        </w:rPr>
        <w:t xml:space="preserve"> dan realisasi anggaran. Dari  pelaksanaan tahun ke</w:t>
      </w:r>
      <w:r>
        <w:rPr>
          <w:rFonts w:ascii="Tahoma" w:hAnsi="Tahoma" w:cs="Tahoma"/>
          <w:color w:val="000000"/>
        </w:rPr>
        <w:t>empat</w:t>
      </w:r>
      <w:r>
        <w:rPr>
          <w:rFonts w:ascii="Tahoma" w:hAnsi="Tahoma" w:cs="Tahoma"/>
          <w:color w:val="000000"/>
          <w:lang w:val="id-ID"/>
        </w:rPr>
        <w:t xml:space="preserve">  Renstra  OPD  Badan Keuangan Daerah Provinsi Sumatera Barat </w:t>
      </w:r>
      <w:r>
        <w:rPr>
          <w:rFonts w:ascii="Tahoma" w:hAnsi="Tahoma" w:cs="Tahoma"/>
          <w:color w:val="000000"/>
        </w:rPr>
        <w:t>T</w:t>
      </w:r>
      <w:r>
        <w:rPr>
          <w:rFonts w:ascii="Tahoma" w:hAnsi="Tahoma" w:cs="Tahoma"/>
          <w:color w:val="000000"/>
          <w:lang w:val="id-ID"/>
        </w:rPr>
        <w:t>ahun 2016</w:t>
      </w:r>
      <w:r>
        <w:rPr>
          <w:rFonts w:hint="default" w:ascii="Tahoma" w:hAnsi="Tahoma" w:cs="Tahoma"/>
          <w:color w:val="000000"/>
          <w:lang w:val="en-US"/>
        </w:rPr>
        <w:t>-</w:t>
      </w:r>
      <w:r>
        <w:rPr>
          <w:rFonts w:ascii="Tahoma" w:hAnsi="Tahoma" w:cs="Tahoma"/>
          <w:color w:val="000000"/>
          <w:lang w:val="id-ID"/>
        </w:rPr>
        <w:t xml:space="preserve">2021 ini sudah menunjukkan kerberhasilan, hal tersebut berkat buah pikiran dan kerja </w:t>
      </w:r>
      <w:r>
        <w:rPr>
          <w:rFonts w:ascii="Tahoma" w:hAnsi="Tahoma" w:cs="Tahoma"/>
          <w:color w:val="000000"/>
        </w:rPr>
        <w:t xml:space="preserve">sama </w:t>
      </w:r>
      <w:r>
        <w:rPr>
          <w:rFonts w:ascii="Tahoma" w:hAnsi="Tahoma" w:cs="Tahoma"/>
          <w:color w:val="000000"/>
          <w:lang w:val="id-ID"/>
        </w:rPr>
        <w:t xml:space="preserve">seluruh </w:t>
      </w:r>
      <w:r>
        <w:rPr>
          <w:rFonts w:ascii="Tahoma" w:hAnsi="Tahoma" w:cs="Tahoma"/>
          <w:i/>
          <w:iCs/>
          <w:color w:val="000000"/>
          <w:lang w:val="id-ID"/>
        </w:rPr>
        <w:t>stakeholders</w:t>
      </w:r>
      <w:r>
        <w:rPr>
          <w:rFonts w:ascii="Tahoma" w:hAnsi="Tahoma" w:cs="Tahoma"/>
          <w:color w:val="000000"/>
          <w:lang w:val="id-ID"/>
        </w:rPr>
        <w:t xml:space="preserve"> pembangunan di Provinsi Sumatera Barat.</w:t>
      </w:r>
    </w:p>
    <w:p>
      <w:pPr>
        <w:spacing w:after="120" w:line="360" w:lineRule="auto"/>
        <w:jc w:val="both"/>
        <w:rPr>
          <w:rFonts w:ascii="Tahoma" w:hAnsi="Tahoma" w:cs="Tahoma"/>
          <w:color w:val="000000"/>
          <w:lang w:val="id-ID"/>
        </w:rPr>
      </w:pPr>
      <w:r>
        <w:rPr>
          <w:rFonts w:ascii="Tahoma" w:hAnsi="Tahoma" w:cs="Tahoma"/>
          <w:color w:val="000000"/>
        </w:rPr>
        <w:t xml:space="preserve">Tantangan dan </w:t>
      </w:r>
      <w:r>
        <w:rPr>
          <w:rFonts w:ascii="Tahoma" w:hAnsi="Tahoma" w:cs="Tahoma"/>
          <w:color w:val="000000"/>
          <w:lang w:val="id-ID"/>
        </w:rPr>
        <w:t>masalah masih ditemukan sehingga ada sasaran yang belum tercapai secara maksimal, tetapi keyakinan dan optimisme yang tinggi senantiasa tetap dimiliki untuk lebih meningkatkan kinerja pada tahun tahun mendatang</w:t>
      </w:r>
      <w:r>
        <w:rPr>
          <w:rFonts w:ascii="Tahoma" w:hAnsi="Tahoma" w:cs="Tahoma"/>
          <w:color w:val="000000"/>
        </w:rPr>
        <w:t>.</w:t>
      </w:r>
    </w:p>
    <w:p>
      <w:pPr>
        <w:spacing w:after="240" w:line="360" w:lineRule="auto"/>
        <w:jc w:val="both"/>
        <w:rPr>
          <w:rFonts w:ascii="Tahoma" w:hAnsi="Tahoma" w:cs="Tahoma"/>
          <w:color w:val="000000"/>
          <w:lang w:val="id-ID"/>
        </w:rPr>
      </w:pPr>
    </w:p>
    <w:p>
      <w:pPr>
        <w:spacing w:after="240" w:line="360" w:lineRule="auto"/>
        <w:jc w:val="both"/>
        <w:rPr>
          <w:rFonts w:ascii="Tahoma" w:hAnsi="Tahoma" w:cs="Tahoma"/>
          <w:color w:val="000000"/>
          <w:lang w:val="id-ID"/>
        </w:rPr>
      </w:pPr>
    </w:p>
    <w:p>
      <w:pPr>
        <w:spacing w:after="240" w:line="360" w:lineRule="auto"/>
        <w:jc w:val="both"/>
        <w:rPr>
          <w:rFonts w:ascii="Tahoma" w:hAnsi="Tahoma" w:cs="Tahoma"/>
          <w:color w:val="000000"/>
          <w:lang w:val="id-ID"/>
        </w:rPr>
      </w:pPr>
    </w:p>
    <w:p>
      <w:pPr>
        <w:keepNext w:val="0"/>
        <w:keepLines w:val="0"/>
        <w:pageBreakBefore w:val="0"/>
        <w:widowControl/>
        <w:kinsoku/>
        <w:wordWrap/>
        <w:overflowPunct/>
        <w:topLinePunct w:val="0"/>
        <w:autoSpaceDE/>
        <w:autoSpaceDN/>
        <w:bidi w:val="0"/>
        <w:adjustRightInd/>
        <w:snapToGrid/>
        <w:spacing w:after="360" w:line="360" w:lineRule="auto"/>
        <w:jc w:val="both"/>
        <w:textAlignment w:val="auto"/>
        <w:rPr>
          <w:rFonts w:ascii="Tahoma" w:hAnsi="Tahoma" w:cs="Tahoma"/>
          <w:color w:val="000000"/>
        </w:rPr>
      </w:pPr>
      <w:r>
        <w:rPr>
          <w:rFonts w:ascii="Tahoma" w:hAnsi="Tahoma" w:cs="Tahoma"/>
          <w:color w:val="000000"/>
          <w:lang w:val="id-ID"/>
        </w:rPr>
        <w:t xml:space="preserve">Ucapan terima kasih kepada semua pihak yang telah memberikan kontribusi dan dukungan dalam penyusunan Laporan Kinerja Badan Keuangan Daerah Provinsi Sumatera Barat </w:t>
      </w:r>
      <w:r>
        <w:rPr>
          <w:rFonts w:ascii="Tahoma" w:hAnsi="Tahoma" w:cs="Tahoma"/>
          <w:color w:val="000000"/>
        </w:rPr>
        <w:t>T</w:t>
      </w:r>
      <w:r>
        <w:rPr>
          <w:rFonts w:ascii="Tahoma" w:hAnsi="Tahoma" w:cs="Tahoma"/>
          <w:color w:val="000000"/>
          <w:lang w:val="id-ID"/>
        </w:rPr>
        <w:t>ahun 20</w:t>
      </w:r>
      <w:r>
        <w:rPr>
          <w:rFonts w:ascii="Tahoma" w:hAnsi="Tahoma" w:cs="Tahoma"/>
          <w:color w:val="000000"/>
        </w:rPr>
        <w:t>20</w:t>
      </w:r>
      <w:r>
        <w:rPr>
          <w:rFonts w:ascii="Tahoma" w:hAnsi="Tahoma" w:cs="Tahoma"/>
          <w:color w:val="000000"/>
          <w:lang w:val="id-ID"/>
        </w:rPr>
        <w:t xml:space="preserve"> ini,  semoga laporan ini dapat bermanfaat dan menjadi media komunikasi penyampaian kinerja OPD di lingkup Pemerintah Provinsi Sumatera Barat dalam satu tahun anggaran kepada masyarakat dan pemangku kepentingan lainnya.</w:t>
      </w:r>
    </w:p>
    <w:p>
      <w:pPr>
        <w:pStyle w:val="18"/>
        <w:spacing w:line="360" w:lineRule="auto"/>
        <w:ind w:left="3969"/>
        <w:rPr>
          <w:rFonts w:ascii="Tahoma" w:hAnsi="Tahoma" w:cs="Tahoma"/>
          <w:b w:val="0"/>
          <w:i w:val="0"/>
          <w:sz w:val="22"/>
          <w:szCs w:val="22"/>
          <w:lang w:val="en-US"/>
        </w:rPr>
      </w:pPr>
      <w:r>
        <w:rPr>
          <w:rFonts w:ascii="Tahoma" w:hAnsi="Tahoma" w:cs="Tahoma"/>
          <w:b w:val="0"/>
          <w:i w:val="0"/>
          <w:sz w:val="22"/>
          <w:szCs w:val="22"/>
        </w:rPr>
        <w:t>Padang</w:t>
      </w:r>
      <w:r>
        <w:rPr>
          <w:rFonts w:ascii="Tahoma" w:hAnsi="Tahoma" w:cs="Tahoma"/>
          <w:b w:val="0"/>
          <w:i w:val="0"/>
          <w:sz w:val="22"/>
          <w:szCs w:val="22"/>
          <w:lang w:val="pt-BR"/>
        </w:rPr>
        <w:t xml:space="preserve">,  </w:t>
      </w:r>
      <w:r>
        <w:rPr>
          <w:rFonts w:hint="default" w:ascii="Tahoma" w:hAnsi="Tahoma" w:cs="Tahoma"/>
          <w:b w:val="0"/>
          <w:i w:val="0"/>
          <w:sz w:val="22"/>
          <w:szCs w:val="22"/>
          <w:lang w:val="en-US"/>
        </w:rPr>
        <w:t xml:space="preserve">  </w:t>
      </w:r>
      <w:r>
        <w:rPr>
          <w:rFonts w:ascii="Tahoma" w:hAnsi="Tahoma" w:cs="Tahoma"/>
          <w:b w:val="0"/>
          <w:i w:val="0"/>
          <w:sz w:val="22"/>
          <w:szCs w:val="22"/>
          <w:lang w:val="pt-BR"/>
        </w:rPr>
        <w:t xml:space="preserve"> </w:t>
      </w:r>
      <w:r>
        <w:rPr>
          <w:rFonts w:ascii="Tahoma" w:hAnsi="Tahoma" w:cs="Tahoma"/>
          <w:b w:val="0"/>
          <w:i w:val="0"/>
          <w:sz w:val="22"/>
          <w:szCs w:val="22"/>
          <w:lang w:val="en-US"/>
        </w:rPr>
        <w:t>Januari 2021</w:t>
      </w:r>
    </w:p>
    <w:p>
      <w:pPr>
        <w:pStyle w:val="18"/>
        <w:ind w:left="3969"/>
        <w:rPr>
          <w:rFonts w:ascii="Tahoma" w:hAnsi="Tahoma" w:cs="Tahoma"/>
          <w:b w:val="0"/>
          <w:i w:val="0"/>
          <w:sz w:val="22"/>
          <w:szCs w:val="22"/>
        </w:rPr>
      </w:pPr>
      <w:r>
        <w:rPr>
          <w:rFonts w:ascii="Tahoma" w:hAnsi="Tahoma" w:cs="Tahoma"/>
          <w:b w:val="0"/>
          <w:i w:val="0"/>
          <w:sz w:val="22"/>
          <w:szCs w:val="22"/>
        </w:rPr>
        <w:t>KEPALA BADAN KEUANGAN DAERAH</w:t>
      </w:r>
    </w:p>
    <w:p>
      <w:pPr>
        <w:pStyle w:val="18"/>
        <w:ind w:left="3969"/>
        <w:rPr>
          <w:rFonts w:ascii="Tahoma" w:hAnsi="Tahoma" w:cs="Tahoma"/>
          <w:b w:val="0"/>
          <w:i w:val="0"/>
          <w:sz w:val="22"/>
          <w:szCs w:val="22"/>
        </w:rPr>
      </w:pPr>
      <w:r>
        <w:rPr>
          <w:rFonts w:ascii="Tahoma" w:hAnsi="Tahoma" w:cs="Tahoma"/>
          <w:b w:val="0"/>
          <w:i w:val="0"/>
          <w:sz w:val="22"/>
          <w:szCs w:val="22"/>
        </w:rPr>
        <w:t>PROVINSI SUMATERA BARAT</w:t>
      </w:r>
    </w:p>
    <w:p>
      <w:pPr>
        <w:pStyle w:val="18"/>
        <w:ind w:left="3969"/>
        <w:jc w:val="left"/>
        <w:rPr>
          <w:rFonts w:ascii="Tahoma" w:hAnsi="Tahoma" w:cs="Tahoma"/>
          <w:b w:val="0"/>
          <w:i w:val="0"/>
          <w:sz w:val="22"/>
          <w:szCs w:val="22"/>
        </w:rPr>
      </w:pPr>
    </w:p>
    <w:p>
      <w:pPr>
        <w:pStyle w:val="18"/>
        <w:spacing w:afterLines="50" w:line="600" w:lineRule="auto"/>
        <w:ind w:left="0"/>
        <w:jc w:val="both"/>
        <w:rPr>
          <w:rFonts w:ascii="Tahoma" w:hAnsi="Tahoma" w:cs="Tahoma"/>
          <w:b w:val="0"/>
          <w:i w:val="0"/>
          <w:sz w:val="22"/>
          <w:szCs w:val="22"/>
        </w:rPr>
      </w:pPr>
    </w:p>
    <w:p>
      <w:pPr>
        <w:pStyle w:val="18"/>
        <w:ind w:left="3969"/>
        <w:rPr>
          <w:rFonts w:ascii="Tahoma" w:hAnsi="Tahoma" w:cs="Tahoma"/>
          <w:bCs/>
          <w:i w:val="0"/>
          <w:sz w:val="22"/>
          <w:szCs w:val="22"/>
        </w:rPr>
      </w:pPr>
      <w:r>
        <w:rPr>
          <w:rFonts w:ascii="Tahoma" w:hAnsi="Tahoma" w:cs="Tahoma"/>
          <w:bCs/>
          <w:i w:val="0"/>
          <w:sz w:val="22"/>
          <w:szCs w:val="22"/>
        </w:rPr>
        <w:t>ZAENUDIN, SE, MM</w:t>
      </w:r>
    </w:p>
    <w:p>
      <w:pPr>
        <w:pStyle w:val="18"/>
        <w:ind w:left="0"/>
        <w:jc w:val="left"/>
        <w:rPr>
          <w:rFonts w:ascii="Tahoma" w:hAnsi="Tahoma" w:cs="Tahoma"/>
          <w:sz w:val="24"/>
          <w:szCs w:val="24"/>
        </w:rPr>
      </w:pPr>
    </w:p>
    <w:p>
      <w:pPr>
        <w:pStyle w:val="18"/>
        <w:ind w:left="0"/>
        <w:jc w:val="left"/>
      </w:pPr>
    </w:p>
    <w:p>
      <w:pPr>
        <w:pStyle w:val="18"/>
        <w:ind w:left="0"/>
        <w:jc w:val="left"/>
      </w:pPr>
    </w:p>
    <w:p>
      <w:pPr>
        <w:pStyle w:val="18"/>
        <w:ind w:left="0"/>
        <w:jc w:val="left"/>
      </w:pPr>
    </w:p>
    <w:p>
      <w:pPr>
        <w:pStyle w:val="18"/>
        <w:spacing w:line="360" w:lineRule="auto"/>
        <w:ind w:left="0"/>
        <w:jc w:val="left"/>
      </w:pPr>
    </w:p>
    <w:p>
      <w:pPr>
        <w:pStyle w:val="18"/>
        <w:ind w:left="0"/>
        <w:jc w:val="left"/>
      </w:pPr>
    </w:p>
    <w:p>
      <w:pPr>
        <w:pStyle w:val="18"/>
        <w:ind w:left="0"/>
        <w:jc w:val="left"/>
      </w:pPr>
    </w:p>
    <w:p>
      <w:pPr>
        <w:pStyle w:val="18"/>
        <w:ind w:left="0"/>
        <w:jc w:val="left"/>
      </w:pPr>
    </w:p>
    <w:p>
      <w:pPr>
        <w:pStyle w:val="18"/>
        <w:ind w:left="0"/>
        <w:jc w:val="left"/>
        <w:rPr>
          <w:rFonts w:cs="MyriadPro-BoldSemiCnIt"/>
          <w:b w:val="0"/>
          <w:bCs/>
          <w:i w:val="0"/>
          <w:iCs/>
        </w:rPr>
      </w:pPr>
    </w:p>
    <w:p>
      <w:pPr>
        <w:autoSpaceDE w:val="0"/>
        <w:autoSpaceDN w:val="0"/>
        <w:adjustRightInd w:val="0"/>
        <w:spacing w:after="0" w:line="360" w:lineRule="auto"/>
        <w:rPr>
          <w:rFonts w:cs="MyriadPro-BoldSemiCnIt"/>
          <w:b/>
          <w:bCs/>
          <w:i/>
          <w:iCs/>
          <w:color w:val="000000"/>
          <w:sz w:val="26"/>
          <w:szCs w:val="26"/>
        </w:rPr>
      </w:pPr>
      <w:r>
        <w:rPr>
          <w:rFonts w:cs="MyriadPro-BoldSemiCnIt"/>
          <w:b/>
          <w:bCs/>
          <w:i/>
          <w:iCs/>
          <w:color w:val="000000"/>
          <w:sz w:val="80"/>
          <w:szCs w:val="80"/>
        </w:rPr>
        <w:t>Daftar Isi</w:t>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p>
    <w:p>
      <w:pPr>
        <w:autoSpaceDE w:val="0"/>
        <w:autoSpaceDN w:val="0"/>
        <w:adjustRightInd w:val="0"/>
        <w:spacing w:after="0" w:line="240" w:lineRule="auto"/>
        <w:jc w:val="center"/>
        <w:rPr>
          <w:rFonts w:hint="default" w:cs="MyriadPro-Light"/>
          <w:color w:val="000000"/>
          <w:lang w:val="en-US"/>
        </w:rPr>
      </w:pP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hint="default" w:cs="MyriadPro-BoldSemiCnIt"/>
          <w:b/>
          <w:bCs/>
          <w:i/>
          <w:iCs/>
          <w:color w:val="000000"/>
          <w:sz w:val="26"/>
          <w:szCs w:val="26"/>
          <w:lang w:val="en-US"/>
        </w:rPr>
        <w:t xml:space="preserve">             </w:t>
      </w:r>
      <w:r>
        <w:rPr>
          <w:rFonts w:cs="MyriadPro-BoldSemiCnIt"/>
          <w:b/>
          <w:bCs/>
          <w:i/>
          <w:iCs/>
          <w:color w:val="000000"/>
          <w:sz w:val="26"/>
          <w:szCs w:val="26"/>
        </w:rPr>
        <w:t>Hal</w:t>
      </w:r>
      <w:r>
        <w:rPr>
          <w:rFonts w:hint="default" w:cs="MyriadPro-BoldSemiCnIt"/>
          <w:b/>
          <w:bCs/>
          <w:i/>
          <w:iCs/>
          <w:color w:val="000000"/>
          <w:sz w:val="26"/>
          <w:szCs w:val="26"/>
          <w:lang w:val="en-US"/>
        </w:rPr>
        <w:t xml:space="preserve"> </w:t>
      </w:r>
    </w:p>
    <w:tbl>
      <w:tblPr>
        <w:tblStyle w:val="7"/>
        <w:tblW w:w="0" w:type="auto"/>
        <w:tblInd w:w="0" w:type="dxa"/>
        <w:tblLayout w:type="autofit"/>
        <w:tblCellMar>
          <w:top w:w="0" w:type="dxa"/>
          <w:left w:w="108" w:type="dxa"/>
          <w:bottom w:w="0" w:type="dxa"/>
          <w:right w:w="108" w:type="dxa"/>
        </w:tblCellMar>
      </w:tblPr>
      <w:tblGrid>
        <w:gridCol w:w="8814"/>
        <w:gridCol w:w="451"/>
      </w:tblGrid>
      <w:tr>
        <w:tblPrEx>
          <w:tblCellMar>
            <w:top w:w="0" w:type="dxa"/>
            <w:left w:w="108" w:type="dxa"/>
            <w:bottom w:w="0" w:type="dxa"/>
            <w:right w:w="108" w:type="dxa"/>
          </w:tblCellMar>
        </w:tblPrEx>
        <w:trPr>
          <w:trHeight w:val="90" w:hRule="atLeast"/>
        </w:trPr>
        <w:tc>
          <w:tcPr>
            <w:tcW w:w="8814" w:type="dxa"/>
            <w:noWrap/>
            <w:vAlign w:val="center"/>
          </w:tcPr>
          <w:p>
            <w:pPr>
              <w:autoSpaceDE w:val="0"/>
              <w:autoSpaceDN w:val="0"/>
              <w:adjustRightInd w:val="0"/>
              <w:spacing w:before="60" w:after="0" w:line="240" w:lineRule="auto"/>
              <w:rPr>
                <w:rFonts w:ascii="Tahoma" w:hAnsi="Tahoma" w:cs="Tahoma"/>
                <w:color w:val="000000"/>
                <w:sz w:val="20"/>
                <w:szCs w:val="20"/>
              </w:rPr>
            </w:pPr>
            <w:r>
              <w:rPr>
                <w:rFonts w:ascii="Tahoma" w:hAnsi="Tahoma" w:cs="Tahoma"/>
                <w:color w:val="000000"/>
                <w:sz w:val="20"/>
                <w:szCs w:val="20"/>
              </w:rPr>
              <w:t xml:space="preserve">KATA </w:t>
            </w:r>
            <w:r>
              <w:rPr>
                <w:rFonts w:ascii="Tahoma" w:hAnsi="Tahoma" w:cs="Tahoma"/>
                <w:color w:val="000000"/>
                <w:sz w:val="20"/>
                <w:szCs w:val="20"/>
                <w:lang w:val="id-ID"/>
              </w:rPr>
              <w:t>PENGANTAR ...............................................................................................................</w:t>
            </w:r>
          </w:p>
        </w:tc>
        <w:tc>
          <w:tcPr>
            <w:tcW w:w="451" w:type="dxa"/>
            <w:noWrap/>
            <w:vAlign w:val="center"/>
          </w:tcPr>
          <w:p>
            <w:pPr>
              <w:autoSpaceDE w:val="0"/>
              <w:autoSpaceDN w:val="0"/>
              <w:adjustRightInd w:val="0"/>
              <w:spacing w:before="60" w:after="0" w:line="240" w:lineRule="auto"/>
              <w:jc w:val="right"/>
              <w:rPr>
                <w:rFonts w:ascii="Tahoma" w:hAnsi="Tahoma" w:cs="Tahoma"/>
                <w:color w:val="000000"/>
                <w:sz w:val="20"/>
                <w:szCs w:val="20"/>
                <w:lang w:val="id-ID"/>
              </w:rPr>
            </w:pPr>
            <w:r>
              <w:rPr>
                <w:rFonts w:ascii="Tahoma" w:hAnsi="Tahoma" w:cs="Tahoma"/>
                <w:color w:val="000000"/>
                <w:sz w:val="20"/>
                <w:szCs w:val="20"/>
                <w:lang w:val="id-ID"/>
              </w:rPr>
              <w:t>i</w:t>
            </w:r>
          </w:p>
        </w:tc>
      </w:tr>
      <w:tr>
        <w:tblPrEx>
          <w:tblCellMar>
            <w:top w:w="0" w:type="dxa"/>
            <w:left w:w="108" w:type="dxa"/>
            <w:bottom w:w="0" w:type="dxa"/>
            <w:right w:w="108" w:type="dxa"/>
          </w:tblCellMar>
        </w:tblPrEx>
        <w:tc>
          <w:tcPr>
            <w:tcW w:w="8814" w:type="dxa"/>
            <w:noWrap/>
            <w:vAlign w:val="center"/>
          </w:tcPr>
          <w:p>
            <w:pPr>
              <w:autoSpaceDE w:val="0"/>
              <w:autoSpaceDN w:val="0"/>
              <w:adjustRightInd w:val="0"/>
              <w:spacing w:before="60" w:after="0" w:line="240" w:lineRule="auto"/>
              <w:rPr>
                <w:rFonts w:ascii="Tahoma" w:hAnsi="Tahoma" w:cs="Tahoma"/>
                <w:color w:val="000000"/>
                <w:sz w:val="20"/>
                <w:szCs w:val="20"/>
                <w:lang w:val="id-ID"/>
              </w:rPr>
            </w:pPr>
            <w:r>
              <w:rPr>
                <w:rFonts w:ascii="Tahoma" w:hAnsi="Tahoma" w:cs="Tahoma"/>
                <w:color w:val="000000"/>
                <w:sz w:val="20"/>
                <w:szCs w:val="20"/>
                <w:lang w:val="id-ID"/>
              </w:rPr>
              <w:t>DAFTAR ISI .........................................................................................................................</w:t>
            </w:r>
          </w:p>
        </w:tc>
        <w:tc>
          <w:tcPr>
            <w:tcW w:w="451" w:type="dxa"/>
            <w:noWrap/>
            <w:vAlign w:val="center"/>
          </w:tcPr>
          <w:p>
            <w:pPr>
              <w:autoSpaceDE w:val="0"/>
              <w:autoSpaceDN w:val="0"/>
              <w:adjustRightInd w:val="0"/>
              <w:spacing w:before="60" w:after="0" w:line="240" w:lineRule="auto"/>
              <w:jc w:val="right"/>
              <w:rPr>
                <w:rFonts w:ascii="Tahoma" w:hAnsi="Tahoma" w:cs="Tahoma"/>
                <w:color w:val="000000"/>
                <w:sz w:val="20"/>
                <w:szCs w:val="20"/>
              </w:rPr>
            </w:pPr>
            <w:r>
              <w:rPr>
                <w:rFonts w:ascii="Tahoma" w:hAnsi="Tahoma" w:cs="Tahoma"/>
                <w:color w:val="000000"/>
                <w:sz w:val="20"/>
                <w:szCs w:val="20"/>
              </w:rPr>
              <w:t>iii</w:t>
            </w:r>
          </w:p>
        </w:tc>
      </w:tr>
      <w:tr>
        <w:tblPrEx>
          <w:tblCellMar>
            <w:top w:w="0" w:type="dxa"/>
            <w:left w:w="108" w:type="dxa"/>
            <w:bottom w:w="0" w:type="dxa"/>
            <w:right w:w="108" w:type="dxa"/>
          </w:tblCellMar>
        </w:tblPrEx>
        <w:tc>
          <w:tcPr>
            <w:tcW w:w="8814" w:type="dxa"/>
            <w:noWrap/>
            <w:vAlign w:val="center"/>
          </w:tcPr>
          <w:p>
            <w:pPr>
              <w:autoSpaceDE w:val="0"/>
              <w:autoSpaceDN w:val="0"/>
              <w:adjustRightInd w:val="0"/>
              <w:spacing w:before="60" w:after="0" w:line="240" w:lineRule="auto"/>
              <w:rPr>
                <w:rFonts w:ascii="Tahoma" w:hAnsi="Tahoma" w:cs="Tahoma"/>
                <w:bCs/>
                <w:color w:val="000000"/>
                <w:sz w:val="20"/>
                <w:szCs w:val="20"/>
              </w:rPr>
            </w:pPr>
            <w:r>
              <w:rPr>
                <w:rFonts w:ascii="Tahoma" w:hAnsi="Tahoma" w:cs="Tahoma"/>
                <w:bCs/>
                <w:color w:val="000000"/>
                <w:sz w:val="20"/>
                <w:szCs w:val="20"/>
              </w:rPr>
              <w:t xml:space="preserve">DAFTAR TABEL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0" w:line="240" w:lineRule="auto"/>
              <w:jc w:val="right"/>
              <w:rPr>
                <w:rFonts w:ascii="Tahoma" w:hAnsi="Tahoma" w:cs="Tahoma"/>
                <w:color w:val="000000"/>
                <w:sz w:val="20"/>
                <w:szCs w:val="20"/>
              </w:rPr>
            </w:pPr>
            <w:r>
              <w:rPr>
                <w:rFonts w:ascii="Tahoma" w:hAnsi="Tahoma" w:cs="Tahoma"/>
                <w:color w:val="000000"/>
                <w:sz w:val="20"/>
                <w:szCs w:val="20"/>
              </w:rPr>
              <w:t>iv</w:t>
            </w:r>
          </w:p>
        </w:tc>
      </w:tr>
      <w:tr>
        <w:tblPrEx>
          <w:tblCellMar>
            <w:top w:w="0" w:type="dxa"/>
            <w:left w:w="108" w:type="dxa"/>
            <w:bottom w:w="0" w:type="dxa"/>
            <w:right w:w="108" w:type="dxa"/>
          </w:tblCellMar>
        </w:tblPrEx>
        <w:tc>
          <w:tcPr>
            <w:tcW w:w="8814" w:type="dxa"/>
            <w:noWrap/>
            <w:vAlign w:val="center"/>
          </w:tcPr>
          <w:p>
            <w:pPr>
              <w:autoSpaceDE w:val="0"/>
              <w:autoSpaceDN w:val="0"/>
              <w:adjustRightInd w:val="0"/>
              <w:spacing w:before="60" w:after="0" w:line="240" w:lineRule="auto"/>
              <w:rPr>
                <w:rFonts w:ascii="Tahoma" w:hAnsi="Tahoma" w:cs="Tahoma"/>
                <w:bCs/>
                <w:color w:val="000000"/>
                <w:sz w:val="20"/>
                <w:szCs w:val="20"/>
              </w:rPr>
            </w:pPr>
            <w:r>
              <w:rPr>
                <w:rFonts w:ascii="Tahoma" w:hAnsi="Tahoma" w:cs="Tahoma"/>
                <w:bCs/>
                <w:color w:val="000000"/>
                <w:sz w:val="20"/>
                <w:szCs w:val="20"/>
              </w:rPr>
              <w:t xml:space="preserve">DAFTAR GAMBAR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0" w:line="240" w:lineRule="auto"/>
              <w:jc w:val="right"/>
              <w:rPr>
                <w:rFonts w:ascii="Tahoma" w:hAnsi="Tahoma" w:cs="Tahoma"/>
                <w:color w:val="000000"/>
                <w:sz w:val="20"/>
                <w:szCs w:val="20"/>
              </w:rPr>
            </w:pPr>
            <w:r>
              <w:rPr>
                <w:rFonts w:ascii="Tahoma" w:hAnsi="Tahoma" w:cs="Tahoma"/>
                <w:color w:val="000000"/>
                <w:sz w:val="20"/>
                <w:szCs w:val="20"/>
              </w:rPr>
              <w:t>v</w:t>
            </w:r>
          </w:p>
        </w:tc>
      </w:tr>
      <w:tr>
        <w:tblPrEx>
          <w:tblCellMar>
            <w:top w:w="0" w:type="dxa"/>
            <w:left w:w="108" w:type="dxa"/>
            <w:bottom w:w="0" w:type="dxa"/>
            <w:right w:w="108" w:type="dxa"/>
          </w:tblCellMar>
        </w:tblPrEx>
        <w:tc>
          <w:tcPr>
            <w:tcW w:w="8814" w:type="dxa"/>
            <w:noWrap/>
            <w:vAlign w:val="center"/>
          </w:tcPr>
          <w:p>
            <w:pPr>
              <w:autoSpaceDE w:val="0"/>
              <w:autoSpaceDN w:val="0"/>
              <w:adjustRightInd w:val="0"/>
              <w:spacing w:before="60" w:after="0" w:line="240" w:lineRule="auto"/>
              <w:rPr>
                <w:rFonts w:ascii="Tahoma" w:hAnsi="Tahoma" w:cs="Tahoma"/>
                <w:bCs/>
                <w:color w:val="000000"/>
                <w:sz w:val="20"/>
                <w:szCs w:val="20"/>
              </w:rPr>
            </w:pPr>
            <w:r>
              <w:rPr>
                <w:rFonts w:ascii="Tahoma" w:hAnsi="Tahoma" w:cs="Tahoma"/>
                <w:bCs/>
                <w:color w:val="000000"/>
                <w:sz w:val="20"/>
                <w:szCs w:val="20"/>
              </w:rPr>
              <w:t xml:space="preserve">DAFTAR GRAFIK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0" w:line="240" w:lineRule="auto"/>
              <w:jc w:val="right"/>
              <w:rPr>
                <w:rFonts w:ascii="Tahoma" w:hAnsi="Tahoma" w:cs="Tahoma"/>
                <w:color w:val="000000"/>
                <w:sz w:val="20"/>
                <w:szCs w:val="20"/>
              </w:rPr>
            </w:pPr>
            <w:r>
              <w:rPr>
                <w:rFonts w:ascii="Tahoma" w:hAnsi="Tahoma" w:cs="Tahoma"/>
                <w:color w:val="000000"/>
                <w:sz w:val="20"/>
                <w:szCs w:val="20"/>
              </w:rPr>
              <w:t>vi</w:t>
            </w:r>
          </w:p>
        </w:tc>
      </w:tr>
      <w:tr>
        <w:tblPrEx>
          <w:tblCellMar>
            <w:top w:w="0" w:type="dxa"/>
            <w:left w:w="108" w:type="dxa"/>
            <w:bottom w:w="0" w:type="dxa"/>
            <w:right w:w="108" w:type="dxa"/>
          </w:tblCellMar>
        </w:tblPrEx>
        <w:trPr>
          <w:trHeight w:val="90" w:hRule="atLeast"/>
        </w:trPr>
        <w:tc>
          <w:tcPr>
            <w:tcW w:w="8814" w:type="dxa"/>
            <w:noWrap/>
            <w:vAlign w:val="center"/>
          </w:tcPr>
          <w:p>
            <w:pPr>
              <w:autoSpaceDE w:val="0"/>
              <w:autoSpaceDN w:val="0"/>
              <w:adjustRightInd w:val="0"/>
              <w:spacing w:before="60" w:after="0" w:line="240" w:lineRule="auto"/>
              <w:rPr>
                <w:rFonts w:ascii="Tahoma" w:hAnsi="Tahoma" w:cs="Tahoma"/>
                <w:color w:val="000000"/>
                <w:sz w:val="20"/>
                <w:szCs w:val="20"/>
              </w:rPr>
            </w:pPr>
            <w:r>
              <w:rPr>
                <w:rFonts w:ascii="Tahoma" w:hAnsi="Tahoma" w:cs="Tahoma"/>
                <w:color w:val="000000"/>
                <w:sz w:val="20"/>
                <w:szCs w:val="20"/>
              </w:rPr>
              <w:t>RINGKASAN EKSEKUTIF  ……………………………………………………………………………………………………</w:t>
            </w:r>
          </w:p>
        </w:tc>
        <w:tc>
          <w:tcPr>
            <w:tcW w:w="451" w:type="dxa"/>
            <w:noWrap/>
            <w:vAlign w:val="center"/>
          </w:tcPr>
          <w:p>
            <w:pPr>
              <w:autoSpaceDE w:val="0"/>
              <w:autoSpaceDN w:val="0"/>
              <w:adjustRightInd w:val="0"/>
              <w:spacing w:before="60" w:after="0" w:line="240" w:lineRule="auto"/>
              <w:jc w:val="right"/>
              <w:rPr>
                <w:rFonts w:ascii="Tahoma" w:hAnsi="Tahoma" w:cs="Tahoma"/>
                <w:color w:val="000000"/>
                <w:sz w:val="20"/>
                <w:szCs w:val="20"/>
              </w:rPr>
            </w:pPr>
            <w:r>
              <w:rPr>
                <w:rFonts w:ascii="Tahoma" w:hAnsi="Tahoma" w:cs="Tahoma"/>
                <w:color w:val="000000"/>
                <w:sz w:val="20"/>
                <w:szCs w:val="20"/>
              </w:rPr>
              <w:t>vii</w:t>
            </w:r>
          </w:p>
        </w:tc>
      </w:tr>
      <w:tr>
        <w:tblPrEx>
          <w:tblCellMar>
            <w:top w:w="0" w:type="dxa"/>
            <w:left w:w="108" w:type="dxa"/>
            <w:bottom w:w="0" w:type="dxa"/>
            <w:right w:w="108" w:type="dxa"/>
          </w:tblCellMar>
        </w:tblPrEx>
        <w:tc>
          <w:tcPr>
            <w:tcW w:w="8814" w:type="dxa"/>
            <w:noWrap/>
            <w:vAlign w:val="center"/>
          </w:tcPr>
          <w:p>
            <w:pPr>
              <w:autoSpaceDE w:val="0"/>
              <w:autoSpaceDN w:val="0"/>
              <w:adjustRightInd w:val="0"/>
              <w:spacing w:before="60" w:after="0" w:line="240" w:lineRule="auto"/>
              <w:rPr>
                <w:rFonts w:ascii="Tahoma" w:hAnsi="Tahoma" w:cs="Tahoma"/>
                <w:color w:val="000000"/>
                <w:sz w:val="20"/>
                <w:szCs w:val="20"/>
                <w:lang w:val="id-ID"/>
              </w:rPr>
            </w:pPr>
            <w:r>
              <w:rPr>
                <w:rFonts w:ascii="Tahoma" w:hAnsi="Tahoma" w:cs="Tahoma"/>
                <w:color w:val="000000"/>
                <w:sz w:val="20"/>
                <w:szCs w:val="20"/>
                <w:lang w:val="id-ID"/>
              </w:rPr>
              <w:t>BAB I</w:t>
            </w:r>
          </w:p>
        </w:tc>
        <w:tc>
          <w:tcPr>
            <w:tcW w:w="451" w:type="dxa"/>
            <w:noWrap/>
            <w:vAlign w:val="center"/>
          </w:tcPr>
          <w:p>
            <w:pPr>
              <w:autoSpaceDE w:val="0"/>
              <w:autoSpaceDN w:val="0"/>
              <w:adjustRightInd w:val="0"/>
              <w:spacing w:before="60" w:after="0" w:line="240" w:lineRule="auto"/>
              <w:jc w:val="right"/>
              <w:rPr>
                <w:rFonts w:ascii="Tahoma" w:hAnsi="Tahoma" w:cs="Tahoma"/>
                <w:color w:val="000000"/>
                <w:sz w:val="20"/>
                <w:szCs w:val="20"/>
                <w:lang w:val="id-ID"/>
              </w:rPr>
            </w:pPr>
          </w:p>
        </w:tc>
      </w:tr>
      <w:tr>
        <w:tblPrEx>
          <w:tblCellMar>
            <w:top w:w="0" w:type="dxa"/>
            <w:left w:w="108" w:type="dxa"/>
            <w:bottom w:w="0" w:type="dxa"/>
            <w:right w:w="108" w:type="dxa"/>
          </w:tblCellMar>
        </w:tblPrEx>
        <w:tc>
          <w:tcPr>
            <w:tcW w:w="8814" w:type="dxa"/>
            <w:noWrap/>
            <w:vAlign w:val="center"/>
          </w:tcPr>
          <w:p>
            <w:pPr>
              <w:autoSpaceDE w:val="0"/>
              <w:autoSpaceDN w:val="0"/>
              <w:adjustRightInd w:val="0"/>
              <w:spacing w:before="60" w:after="0" w:line="240" w:lineRule="auto"/>
              <w:rPr>
                <w:rFonts w:ascii="Tahoma" w:hAnsi="Tahoma" w:cs="Tahoma"/>
                <w:color w:val="000000"/>
                <w:sz w:val="20"/>
                <w:szCs w:val="20"/>
                <w:lang w:val="id-ID"/>
              </w:rPr>
            </w:pPr>
            <w:r>
              <w:rPr>
                <w:rFonts w:ascii="Tahoma" w:hAnsi="Tahoma" w:cs="Tahoma"/>
                <w:color w:val="000000"/>
                <w:sz w:val="20"/>
                <w:szCs w:val="20"/>
                <w:lang w:val="id-ID"/>
              </w:rPr>
              <w:t>PENDAHULUAN ...................................................................................................................</w:t>
            </w:r>
          </w:p>
        </w:tc>
        <w:tc>
          <w:tcPr>
            <w:tcW w:w="451" w:type="dxa"/>
            <w:noWrap/>
            <w:vAlign w:val="center"/>
          </w:tcPr>
          <w:p>
            <w:pPr>
              <w:autoSpaceDE w:val="0"/>
              <w:autoSpaceDN w:val="0"/>
              <w:adjustRightInd w:val="0"/>
              <w:spacing w:before="60" w:after="0" w:line="240" w:lineRule="auto"/>
              <w:jc w:val="right"/>
              <w:rPr>
                <w:rFonts w:ascii="Tahoma" w:hAnsi="Tahoma" w:cs="Tahoma"/>
                <w:color w:val="000000"/>
                <w:sz w:val="20"/>
                <w:szCs w:val="20"/>
                <w:lang w:val="id-ID"/>
              </w:rPr>
            </w:pPr>
            <w:r>
              <w:rPr>
                <w:rFonts w:ascii="Tahoma" w:hAnsi="Tahoma" w:cs="Tahoma"/>
                <w:color w:val="000000"/>
                <w:sz w:val="20"/>
                <w:szCs w:val="20"/>
                <w:lang w:val="id-ID"/>
              </w:rPr>
              <w:t>1</w:t>
            </w:r>
          </w:p>
        </w:tc>
      </w:tr>
      <w:tr>
        <w:tblPrEx>
          <w:tblCellMar>
            <w:top w:w="0" w:type="dxa"/>
            <w:left w:w="108" w:type="dxa"/>
            <w:bottom w:w="0" w:type="dxa"/>
            <w:right w:w="108" w:type="dxa"/>
          </w:tblCellMar>
        </w:tblPrEx>
        <w:tc>
          <w:tcPr>
            <w:tcW w:w="8814" w:type="dxa"/>
            <w:noWrap/>
            <w:vAlign w:val="center"/>
          </w:tcPr>
          <w:p>
            <w:pPr>
              <w:numPr>
                <w:ilvl w:val="0"/>
                <w:numId w:val="2"/>
              </w:numPr>
              <w:autoSpaceDE w:val="0"/>
              <w:autoSpaceDN w:val="0"/>
              <w:adjustRightInd w:val="0"/>
              <w:spacing w:before="60" w:after="0" w:line="240" w:lineRule="auto"/>
              <w:rPr>
                <w:rFonts w:ascii="Tahoma" w:hAnsi="Tahoma" w:cs="Tahoma"/>
                <w:color w:val="000000"/>
                <w:sz w:val="20"/>
                <w:szCs w:val="20"/>
                <w:lang w:val="id-ID"/>
              </w:rPr>
            </w:pPr>
            <w:r>
              <w:rPr>
                <w:rFonts w:ascii="Tahoma" w:hAnsi="Tahoma" w:cs="Tahoma"/>
                <w:color w:val="000000"/>
                <w:sz w:val="20"/>
                <w:szCs w:val="20"/>
                <w:lang w:val="id-ID"/>
              </w:rPr>
              <w:t>Latar Belakang ..................................................................................................</w:t>
            </w:r>
          </w:p>
        </w:tc>
        <w:tc>
          <w:tcPr>
            <w:tcW w:w="451" w:type="dxa"/>
            <w:noWrap/>
            <w:vAlign w:val="center"/>
          </w:tcPr>
          <w:p>
            <w:pPr>
              <w:autoSpaceDE w:val="0"/>
              <w:autoSpaceDN w:val="0"/>
              <w:adjustRightInd w:val="0"/>
              <w:spacing w:before="60" w:after="0" w:line="240" w:lineRule="auto"/>
              <w:jc w:val="right"/>
              <w:rPr>
                <w:rFonts w:ascii="Tahoma" w:hAnsi="Tahoma" w:cs="Tahoma"/>
                <w:color w:val="000000"/>
                <w:sz w:val="20"/>
                <w:szCs w:val="20"/>
                <w:lang w:val="id-ID"/>
              </w:rPr>
            </w:pPr>
            <w:r>
              <w:rPr>
                <w:rFonts w:ascii="Tahoma" w:hAnsi="Tahoma" w:cs="Tahoma"/>
                <w:color w:val="000000"/>
                <w:sz w:val="20"/>
                <w:szCs w:val="20"/>
                <w:lang w:val="id-ID"/>
              </w:rPr>
              <w:t>1</w:t>
            </w:r>
          </w:p>
        </w:tc>
      </w:tr>
      <w:tr>
        <w:tblPrEx>
          <w:tblCellMar>
            <w:top w:w="0" w:type="dxa"/>
            <w:left w:w="108" w:type="dxa"/>
            <w:bottom w:w="0" w:type="dxa"/>
            <w:right w:w="108" w:type="dxa"/>
          </w:tblCellMar>
        </w:tblPrEx>
        <w:trPr>
          <w:trHeight w:val="64" w:hRule="atLeast"/>
        </w:trPr>
        <w:tc>
          <w:tcPr>
            <w:tcW w:w="8814" w:type="dxa"/>
            <w:noWrap/>
            <w:vAlign w:val="center"/>
          </w:tcPr>
          <w:p>
            <w:pPr>
              <w:numPr>
                <w:ilvl w:val="0"/>
                <w:numId w:val="2"/>
              </w:numPr>
              <w:autoSpaceDE w:val="0"/>
              <w:autoSpaceDN w:val="0"/>
              <w:adjustRightInd w:val="0"/>
              <w:spacing w:before="60" w:after="0" w:line="240" w:lineRule="auto"/>
              <w:rPr>
                <w:rFonts w:ascii="Tahoma" w:hAnsi="Tahoma" w:cs="Tahoma"/>
                <w:color w:val="000000"/>
                <w:sz w:val="20"/>
                <w:szCs w:val="20"/>
                <w:lang w:val="id-ID"/>
              </w:rPr>
            </w:pPr>
            <w:r>
              <w:rPr>
                <w:rFonts w:ascii="Tahoma" w:hAnsi="Tahoma" w:cs="Tahoma"/>
                <w:color w:val="000000"/>
                <w:sz w:val="20"/>
                <w:szCs w:val="20"/>
                <w:lang w:val="id-ID"/>
              </w:rPr>
              <w:t>Gambaran Organisasi  .....................................................................................</w:t>
            </w:r>
            <w:r>
              <w:rPr>
                <w:rFonts w:ascii="Tahoma" w:hAnsi="Tahoma" w:cs="Tahoma"/>
                <w:color w:val="000000"/>
                <w:sz w:val="20"/>
                <w:szCs w:val="20"/>
              </w:rPr>
              <w:t>.</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0" w:line="240" w:lineRule="auto"/>
              <w:jc w:val="right"/>
              <w:rPr>
                <w:rFonts w:ascii="Tahoma" w:hAnsi="Tahoma" w:cs="Tahoma"/>
                <w:color w:val="000000"/>
                <w:sz w:val="20"/>
                <w:szCs w:val="20"/>
                <w:lang w:val="id-ID"/>
              </w:rPr>
            </w:pPr>
            <w:r>
              <w:rPr>
                <w:rFonts w:ascii="Tahoma" w:hAnsi="Tahoma" w:cs="Tahoma"/>
                <w:color w:val="000000"/>
                <w:sz w:val="20"/>
                <w:szCs w:val="20"/>
                <w:lang w:val="id-ID"/>
              </w:rPr>
              <w:t>2</w:t>
            </w:r>
          </w:p>
        </w:tc>
      </w:tr>
      <w:tr>
        <w:tblPrEx>
          <w:tblCellMar>
            <w:top w:w="0" w:type="dxa"/>
            <w:left w:w="108" w:type="dxa"/>
            <w:bottom w:w="0" w:type="dxa"/>
            <w:right w:w="108" w:type="dxa"/>
          </w:tblCellMar>
        </w:tblPrEx>
        <w:trPr>
          <w:trHeight w:val="64" w:hRule="atLeast"/>
        </w:trPr>
        <w:tc>
          <w:tcPr>
            <w:tcW w:w="8814" w:type="dxa"/>
            <w:noWrap/>
            <w:vAlign w:val="center"/>
          </w:tcPr>
          <w:p>
            <w:pPr>
              <w:numPr>
                <w:ilvl w:val="0"/>
                <w:numId w:val="2"/>
              </w:numPr>
              <w:autoSpaceDE w:val="0"/>
              <w:autoSpaceDN w:val="0"/>
              <w:adjustRightInd w:val="0"/>
              <w:spacing w:before="60" w:after="0" w:line="240" w:lineRule="auto"/>
              <w:rPr>
                <w:rFonts w:ascii="Tahoma" w:hAnsi="Tahoma" w:cs="Tahoma"/>
                <w:color w:val="000000"/>
                <w:sz w:val="20"/>
                <w:szCs w:val="20"/>
                <w:lang w:val="id-ID"/>
              </w:rPr>
            </w:pPr>
            <w:r>
              <w:rPr>
                <w:rFonts w:ascii="Tahoma" w:hAnsi="Tahoma" w:cs="Tahoma"/>
                <w:color w:val="000000"/>
                <w:sz w:val="20"/>
                <w:szCs w:val="20"/>
                <w:lang w:val="id-ID"/>
              </w:rPr>
              <w:t>Aspek Strategis Organisasi..................................................................................</w:t>
            </w:r>
          </w:p>
        </w:tc>
        <w:tc>
          <w:tcPr>
            <w:tcW w:w="451" w:type="dxa"/>
            <w:noWrap/>
            <w:vAlign w:val="center"/>
          </w:tcPr>
          <w:p>
            <w:pPr>
              <w:autoSpaceDE w:val="0"/>
              <w:autoSpaceDN w:val="0"/>
              <w:adjustRightInd w:val="0"/>
              <w:spacing w:before="60" w:after="0" w:line="240" w:lineRule="auto"/>
              <w:jc w:val="right"/>
              <w:rPr>
                <w:rFonts w:ascii="Tahoma" w:hAnsi="Tahoma" w:cs="Tahoma"/>
                <w:color w:val="000000"/>
                <w:sz w:val="20"/>
                <w:szCs w:val="20"/>
                <w:lang w:val="id-ID"/>
              </w:rPr>
            </w:pPr>
            <w:r>
              <w:rPr>
                <w:rFonts w:hint="default" w:ascii="Tahoma" w:hAnsi="Tahoma" w:cs="Tahoma"/>
                <w:color w:val="000000"/>
                <w:sz w:val="20"/>
                <w:szCs w:val="20"/>
                <w:lang w:val="en-US"/>
              </w:rPr>
              <w:t>5</w:t>
            </w:r>
          </w:p>
        </w:tc>
      </w:tr>
      <w:tr>
        <w:tblPrEx>
          <w:tblCellMar>
            <w:top w:w="0" w:type="dxa"/>
            <w:left w:w="108" w:type="dxa"/>
            <w:bottom w:w="0" w:type="dxa"/>
            <w:right w:w="108" w:type="dxa"/>
          </w:tblCellMar>
        </w:tblPrEx>
        <w:trPr>
          <w:trHeight w:val="64" w:hRule="atLeast"/>
        </w:trPr>
        <w:tc>
          <w:tcPr>
            <w:tcW w:w="8814" w:type="dxa"/>
            <w:noWrap/>
            <w:vAlign w:val="center"/>
          </w:tcPr>
          <w:p>
            <w:pPr>
              <w:numPr>
                <w:ilvl w:val="0"/>
                <w:numId w:val="2"/>
              </w:numPr>
              <w:autoSpaceDE w:val="0"/>
              <w:autoSpaceDN w:val="0"/>
              <w:adjustRightInd w:val="0"/>
              <w:spacing w:before="60" w:after="0" w:line="240" w:lineRule="auto"/>
              <w:rPr>
                <w:rFonts w:ascii="Tahoma" w:hAnsi="Tahoma" w:cs="Tahoma"/>
                <w:color w:val="000000"/>
                <w:sz w:val="20"/>
                <w:szCs w:val="20"/>
                <w:lang w:val="id-ID"/>
              </w:rPr>
            </w:pPr>
            <w:r>
              <w:rPr>
                <w:rFonts w:hint="default" w:ascii="Tahoma" w:hAnsi="Tahoma" w:cs="Tahoma"/>
                <w:color w:val="000000"/>
                <w:sz w:val="20"/>
                <w:szCs w:val="20"/>
                <w:lang w:val="en-US"/>
              </w:rPr>
              <w:t>Permasalahan Utama (Isu Strategis)</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0" w:line="240" w:lineRule="auto"/>
              <w:jc w:val="right"/>
              <w:rPr>
                <w:rFonts w:ascii="Tahoma" w:hAnsi="Tahoma" w:cs="Tahoma"/>
                <w:color w:val="000000"/>
                <w:sz w:val="20"/>
                <w:szCs w:val="20"/>
              </w:rPr>
            </w:pPr>
            <w:r>
              <w:rPr>
                <w:rFonts w:hint="default" w:ascii="Tahoma" w:hAnsi="Tahoma" w:cs="Tahoma"/>
                <w:color w:val="000000"/>
                <w:sz w:val="20"/>
                <w:szCs w:val="20"/>
                <w:lang w:val="en-US"/>
              </w:rPr>
              <w:t>9</w:t>
            </w: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0" w:line="240" w:lineRule="auto"/>
              <w:rPr>
                <w:rFonts w:ascii="Tahoma" w:hAnsi="Tahoma" w:cs="Tahoma"/>
                <w:color w:val="000000"/>
                <w:sz w:val="20"/>
                <w:szCs w:val="20"/>
                <w:lang w:val="id-ID"/>
              </w:rPr>
            </w:pPr>
            <w:r>
              <w:rPr>
                <w:rFonts w:ascii="Tahoma" w:hAnsi="Tahoma" w:cs="Tahoma"/>
                <w:color w:val="000000"/>
                <w:sz w:val="20"/>
                <w:szCs w:val="20"/>
                <w:lang w:val="id-ID"/>
              </w:rPr>
              <w:t>BAB II</w:t>
            </w:r>
          </w:p>
        </w:tc>
        <w:tc>
          <w:tcPr>
            <w:tcW w:w="451" w:type="dxa"/>
            <w:noWrap/>
            <w:vAlign w:val="center"/>
          </w:tcPr>
          <w:p>
            <w:pPr>
              <w:autoSpaceDE w:val="0"/>
              <w:autoSpaceDN w:val="0"/>
              <w:adjustRightInd w:val="0"/>
              <w:spacing w:before="60" w:after="0" w:line="240" w:lineRule="auto"/>
              <w:jc w:val="right"/>
              <w:rPr>
                <w:rFonts w:ascii="Tahoma" w:hAnsi="Tahoma" w:cs="Tahoma"/>
                <w:color w:val="000000"/>
                <w:sz w:val="20"/>
                <w:szCs w:val="20"/>
                <w:lang w:val="id-ID"/>
              </w:rPr>
            </w:pP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0" w:line="240" w:lineRule="auto"/>
              <w:rPr>
                <w:rFonts w:ascii="Tahoma" w:hAnsi="Tahoma" w:cs="Tahoma"/>
                <w:color w:val="000000"/>
                <w:sz w:val="20"/>
                <w:szCs w:val="20"/>
                <w:lang w:val="id-ID"/>
              </w:rPr>
            </w:pPr>
            <w:r>
              <w:rPr>
                <w:rFonts w:ascii="Tahoma" w:hAnsi="Tahoma" w:cs="Tahoma"/>
                <w:color w:val="000000"/>
                <w:sz w:val="20"/>
                <w:szCs w:val="20"/>
                <w:lang w:val="id-ID"/>
              </w:rPr>
              <w:t>PERENCANAAN KINERJA ......................................................................................................</w:t>
            </w:r>
          </w:p>
        </w:tc>
        <w:tc>
          <w:tcPr>
            <w:tcW w:w="451" w:type="dxa"/>
            <w:noWrap/>
            <w:vAlign w:val="center"/>
          </w:tcPr>
          <w:p>
            <w:pPr>
              <w:autoSpaceDE w:val="0"/>
              <w:autoSpaceDN w:val="0"/>
              <w:adjustRightInd w:val="0"/>
              <w:spacing w:before="60" w:after="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11</w:t>
            </w: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0" w:line="240" w:lineRule="auto"/>
              <w:rPr>
                <w:rFonts w:ascii="Tahoma" w:hAnsi="Tahoma" w:cs="Tahoma"/>
                <w:color w:val="000000"/>
                <w:sz w:val="20"/>
                <w:szCs w:val="20"/>
                <w:lang w:val="id-ID"/>
              </w:rPr>
            </w:pPr>
            <w:r>
              <w:rPr>
                <w:rFonts w:ascii="Tahoma" w:hAnsi="Tahoma" w:cs="Tahoma"/>
                <w:color w:val="000000"/>
                <w:sz w:val="20"/>
                <w:szCs w:val="20"/>
                <w:lang w:val="id-ID"/>
              </w:rPr>
              <w:t>BAB III</w:t>
            </w:r>
          </w:p>
        </w:tc>
        <w:tc>
          <w:tcPr>
            <w:tcW w:w="451" w:type="dxa"/>
            <w:noWrap/>
            <w:vAlign w:val="center"/>
          </w:tcPr>
          <w:p>
            <w:pPr>
              <w:autoSpaceDE w:val="0"/>
              <w:autoSpaceDN w:val="0"/>
              <w:adjustRightInd w:val="0"/>
              <w:spacing w:before="60" w:after="0" w:line="240" w:lineRule="auto"/>
              <w:jc w:val="right"/>
              <w:rPr>
                <w:rFonts w:ascii="Tahoma" w:hAnsi="Tahoma" w:cs="Tahoma"/>
                <w:color w:val="000000"/>
                <w:sz w:val="20"/>
                <w:szCs w:val="20"/>
                <w:lang w:val="id-ID"/>
              </w:rPr>
            </w:pP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0" w:line="240" w:lineRule="auto"/>
              <w:rPr>
                <w:rFonts w:ascii="Tahoma" w:hAnsi="Tahoma" w:cs="Tahoma"/>
                <w:color w:val="000000"/>
                <w:sz w:val="20"/>
                <w:szCs w:val="20"/>
                <w:lang w:val="id-ID"/>
              </w:rPr>
            </w:pPr>
            <w:r>
              <w:rPr>
                <w:rFonts w:ascii="Tahoma" w:hAnsi="Tahoma" w:cs="Tahoma"/>
                <w:color w:val="000000"/>
                <w:sz w:val="20"/>
                <w:szCs w:val="20"/>
                <w:lang w:val="id-ID"/>
              </w:rPr>
              <w:t>AKUNTABILITAS KINERJA .....................................................................................................</w:t>
            </w:r>
          </w:p>
        </w:tc>
        <w:tc>
          <w:tcPr>
            <w:tcW w:w="451" w:type="dxa"/>
            <w:noWrap/>
            <w:vAlign w:val="center"/>
          </w:tcPr>
          <w:p>
            <w:pPr>
              <w:autoSpaceDE w:val="0"/>
              <w:autoSpaceDN w:val="0"/>
              <w:adjustRightInd w:val="0"/>
              <w:spacing w:before="60" w:after="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27</w:t>
            </w:r>
          </w:p>
        </w:tc>
      </w:tr>
      <w:tr>
        <w:tblPrEx>
          <w:tblCellMar>
            <w:top w:w="0" w:type="dxa"/>
            <w:left w:w="108" w:type="dxa"/>
            <w:bottom w:w="0" w:type="dxa"/>
            <w:right w:w="108" w:type="dxa"/>
          </w:tblCellMar>
        </w:tblPrEx>
        <w:trPr>
          <w:trHeight w:val="64" w:hRule="atLeast"/>
        </w:trPr>
        <w:tc>
          <w:tcPr>
            <w:tcW w:w="8814" w:type="dxa"/>
            <w:noWrap/>
            <w:vAlign w:val="center"/>
          </w:tcPr>
          <w:p>
            <w:pPr>
              <w:numPr>
                <w:ilvl w:val="0"/>
                <w:numId w:val="3"/>
              </w:numPr>
              <w:autoSpaceDE w:val="0"/>
              <w:autoSpaceDN w:val="0"/>
              <w:adjustRightInd w:val="0"/>
              <w:spacing w:before="60" w:after="0" w:line="240" w:lineRule="auto"/>
              <w:rPr>
                <w:rFonts w:ascii="Tahoma" w:hAnsi="Tahoma" w:cs="Tahoma"/>
                <w:color w:val="000000"/>
                <w:sz w:val="20"/>
                <w:szCs w:val="20"/>
                <w:lang w:val="id-ID"/>
              </w:rPr>
            </w:pPr>
            <w:r>
              <w:rPr>
                <w:rFonts w:ascii="Tahoma" w:hAnsi="Tahoma" w:cs="Tahoma"/>
                <w:color w:val="000000"/>
                <w:sz w:val="20"/>
                <w:szCs w:val="20"/>
              </w:rPr>
              <w:t xml:space="preserve">Metode Pengukuran </w:t>
            </w:r>
            <w:r>
              <w:rPr>
                <w:rFonts w:ascii="Tahoma" w:hAnsi="Tahoma" w:cs="Tahoma"/>
                <w:color w:val="000000"/>
                <w:sz w:val="20"/>
                <w:szCs w:val="20"/>
                <w:lang w:val="id-ID"/>
              </w:rPr>
              <w:t xml:space="preserve"> ...........................................................................................</w:t>
            </w:r>
          </w:p>
        </w:tc>
        <w:tc>
          <w:tcPr>
            <w:tcW w:w="451" w:type="dxa"/>
            <w:noWrap/>
            <w:vAlign w:val="center"/>
          </w:tcPr>
          <w:p>
            <w:pPr>
              <w:autoSpaceDE w:val="0"/>
              <w:autoSpaceDN w:val="0"/>
              <w:adjustRightInd w:val="0"/>
              <w:spacing w:before="60" w:after="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27</w:t>
            </w:r>
          </w:p>
        </w:tc>
      </w:tr>
      <w:tr>
        <w:tblPrEx>
          <w:tblCellMar>
            <w:top w:w="0" w:type="dxa"/>
            <w:left w:w="108" w:type="dxa"/>
            <w:bottom w:w="0" w:type="dxa"/>
            <w:right w:w="108" w:type="dxa"/>
          </w:tblCellMar>
        </w:tblPrEx>
        <w:trPr>
          <w:trHeight w:val="64" w:hRule="atLeast"/>
        </w:trPr>
        <w:tc>
          <w:tcPr>
            <w:tcW w:w="8814" w:type="dxa"/>
            <w:noWrap/>
            <w:vAlign w:val="center"/>
          </w:tcPr>
          <w:p>
            <w:pPr>
              <w:numPr>
                <w:ilvl w:val="0"/>
                <w:numId w:val="3"/>
              </w:numPr>
              <w:autoSpaceDE w:val="0"/>
              <w:autoSpaceDN w:val="0"/>
              <w:adjustRightInd w:val="0"/>
              <w:spacing w:before="60" w:after="0" w:line="240" w:lineRule="auto"/>
              <w:rPr>
                <w:rFonts w:ascii="Tahoma" w:hAnsi="Tahoma" w:cs="Tahoma"/>
                <w:color w:val="000000"/>
                <w:sz w:val="20"/>
                <w:szCs w:val="20"/>
                <w:lang w:val="id-ID"/>
              </w:rPr>
            </w:pPr>
            <w:r>
              <w:rPr>
                <w:rFonts w:hint="default" w:ascii="Tahoma" w:hAnsi="Tahoma" w:cs="Tahoma"/>
                <w:color w:val="000000"/>
                <w:sz w:val="20"/>
                <w:szCs w:val="20"/>
                <w:lang w:val="en-US"/>
              </w:rPr>
              <w:t xml:space="preserve">Hasil </w:t>
            </w:r>
            <w:r>
              <w:rPr>
                <w:rFonts w:ascii="Tahoma" w:hAnsi="Tahoma" w:cs="Tahoma"/>
                <w:color w:val="000000"/>
                <w:sz w:val="20"/>
                <w:szCs w:val="20"/>
                <w:lang w:val="id-ID"/>
              </w:rPr>
              <w:t>Pengukuran Kinerja ....................................................................................</w:t>
            </w:r>
          </w:p>
        </w:tc>
        <w:tc>
          <w:tcPr>
            <w:tcW w:w="451" w:type="dxa"/>
            <w:noWrap/>
            <w:vAlign w:val="center"/>
          </w:tcPr>
          <w:p>
            <w:pPr>
              <w:autoSpaceDE w:val="0"/>
              <w:autoSpaceDN w:val="0"/>
              <w:adjustRightInd w:val="0"/>
              <w:spacing w:before="60" w:after="0" w:line="240" w:lineRule="auto"/>
              <w:jc w:val="right"/>
              <w:rPr>
                <w:rFonts w:ascii="Tahoma" w:hAnsi="Tahoma" w:cs="Tahoma"/>
                <w:color w:val="000000"/>
                <w:sz w:val="20"/>
                <w:szCs w:val="20"/>
              </w:rPr>
            </w:pPr>
            <w:r>
              <w:rPr>
                <w:rFonts w:ascii="Tahoma" w:hAnsi="Tahoma" w:cs="Tahoma"/>
                <w:color w:val="000000"/>
                <w:sz w:val="20"/>
                <w:szCs w:val="20"/>
              </w:rPr>
              <w:t>3</w:t>
            </w:r>
            <w:r>
              <w:rPr>
                <w:rFonts w:hint="default" w:ascii="Tahoma" w:hAnsi="Tahoma" w:cs="Tahoma"/>
                <w:color w:val="000000"/>
                <w:sz w:val="20"/>
                <w:szCs w:val="20"/>
                <w:lang w:val="en-US"/>
              </w:rPr>
              <w:t>0</w:t>
            </w:r>
          </w:p>
        </w:tc>
      </w:tr>
      <w:tr>
        <w:tblPrEx>
          <w:tblCellMar>
            <w:top w:w="0" w:type="dxa"/>
            <w:left w:w="108" w:type="dxa"/>
            <w:bottom w:w="0" w:type="dxa"/>
            <w:right w:w="108" w:type="dxa"/>
          </w:tblCellMar>
        </w:tblPrEx>
        <w:trPr>
          <w:trHeight w:val="64" w:hRule="atLeast"/>
        </w:trPr>
        <w:tc>
          <w:tcPr>
            <w:tcW w:w="8814" w:type="dxa"/>
            <w:noWrap/>
            <w:vAlign w:val="center"/>
          </w:tcPr>
          <w:p>
            <w:pPr>
              <w:numPr>
                <w:ilvl w:val="0"/>
                <w:numId w:val="3"/>
              </w:numPr>
              <w:autoSpaceDE w:val="0"/>
              <w:autoSpaceDN w:val="0"/>
              <w:adjustRightInd w:val="0"/>
              <w:spacing w:before="60" w:after="0" w:line="240" w:lineRule="auto"/>
              <w:rPr>
                <w:rFonts w:ascii="Tahoma" w:hAnsi="Tahoma" w:cs="Tahoma"/>
                <w:color w:val="000000"/>
                <w:sz w:val="20"/>
                <w:szCs w:val="20"/>
                <w:lang w:val="id-ID"/>
              </w:rPr>
            </w:pPr>
            <w:r>
              <w:rPr>
                <w:rFonts w:ascii="Tahoma" w:hAnsi="Tahoma" w:cs="Tahoma"/>
                <w:color w:val="000000"/>
                <w:sz w:val="20"/>
                <w:szCs w:val="20"/>
                <w:lang w:val="id-ID"/>
              </w:rPr>
              <w:t>Capaian Kinerja ..................................................................................................</w:t>
            </w:r>
          </w:p>
        </w:tc>
        <w:tc>
          <w:tcPr>
            <w:tcW w:w="451" w:type="dxa"/>
            <w:noWrap/>
            <w:vAlign w:val="center"/>
          </w:tcPr>
          <w:p>
            <w:pPr>
              <w:autoSpaceDE w:val="0"/>
              <w:autoSpaceDN w:val="0"/>
              <w:adjustRightInd w:val="0"/>
              <w:spacing w:before="60" w:after="0" w:line="240" w:lineRule="auto"/>
              <w:jc w:val="right"/>
              <w:rPr>
                <w:rFonts w:ascii="Tahoma" w:hAnsi="Tahoma" w:cs="Tahoma"/>
                <w:color w:val="000000"/>
                <w:sz w:val="20"/>
                <w:szCs w:val="20"/>
              </w:rPr>
            </w:pPr>
            <w:r>
              <w:rPr>
                <w:rFonts w:ascii="Tahoma" w:hAnsi="Tahoma" w:cs="Tahoma"/>
                <w:color w:val="000000"/>
                <w:sz w:val="20"/>
                <w:szCs w:val="20"/>
              </w:rPr>
              <w:t>3</w:t>
            </w:r>
            <w:r>
              <w:rPr>
                <w:rFonts w:hint="default" w:ascii="Tahoma" w:hAnsi="Tahoma" w:cs="Tahoma"/>
                <w:color w:val="000000"/>
                <w:sz w:val="20"/>
                <w:szCs w:val="20"/>
                <w:lang w:val="en-US"/>
              </w:rPr>
              <w:t>1</w:t>
            </w:r>
          </w:p>
        </w:tc>
      </w:tr>
      <w:tr>
        <w:tblPrEx>
          <w:tblCellMar>
            <w:top w:w="0" w:type="dxa"/>
            <w:left w:w="108" w:type="dxa"/>
            <w:bottom w:w="0" w:type="dxa"/>
            <w:right w:w="108" w:type="dxa"/>
          </w:tblCellMar>
        </w:tblPrEx>
        <w:trPr>
          <w:trHeight w:val="64" w:hRule="atLeast"/>
        </w:trPr>
        <w:tc>
          <w:tcPr>
            <w:tcW w:w="8814" w:type="dxa"/>
            <w:noWrap/>
            <w:vAlign w:val="center"/>
          </w:tcPr>
          <w:p>
            <w:pPr>
              <w:numPr>
                <w:ilvl w:val="0"/>
                <w:numId w:val="3"/>
              </w:numPr>
              <w:autoSpaceDE w:val="0"/>
              <w:autoSpaceDN w:val="0"/>
              <w:adjustRightInd w:val="0"/>
              <w:spacing w:before="60" w:after="0" w:line="240" w:lineRule="auto"/>
              <w:rPr>
                <w:rFonts w:ascii="Tahoma" w:hAnsi="Tahoma" w:cs="Tahoma"/>
                <w:color w:val="000000"/>
                <w:sz w:val="20"/>
                <w:szCs w:val="20"/>
                <w:lang w:val="id-ID"/>
              </w:rPr>
            </w:pPr>
            <w:r>
              <w:rPr>
                <w:rFonts w:ascii="Tahoma" w:hAnsi="Tahoma" w:cs="Tahoma"/>
                <w:color w:val="000000"/>
                <w:sz w:val="20"/>
                <w:szCs w:val="20"/>
              </w:rPr>
              <w:t xml:space="preserve">Realisasi Anggaran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50</w:t>
            </w:r>
          </w:p>
        </w:tc>
      </w:tr>
      <w:tr>
        <w:tblPrEx>
          <w:tblCellMar>
            <w:top w:w="0" w:type="dxa"/>
            <w:left w:w="108" w:type="dxa"/>
            <w:bottom w:w="0" w:type="dxa"/>
            <w:right w:w="108" w:type="dxa"/>
          </w:tblCellMar>
        </w:tblPrEx>
        <w:trPr>
          <w:trHeight w:val="64" w:hRule="atLeast"/>
        </w:trPr>
        <w:tc>
          <w:tcPr>
            <w:tcW w:w="8814" w:type="dxa"/>
            <w:noWrap/>
            <w:vAlign w:val="center"/>
          </w:tcPr>
          <w:p>
            <w:pPr>
              <w:numPr>
                <w:ilvl w:val="0"/>
                <w:numId w:val="3"/>
              </w:numPr>
              <w:autoSpaceDE w:val="0"/>
              <w:autoSpaceDN w:val="0"/>
              <w:adjustRightInd w:val="0"/>
              <w:spacing w:before="60" w:after="0" w:line="240" w:lineRule="auto"/>
              <w:rPr>
                <w:rFonts w:ascii="Tahoma" w:hAnsi="Tahoma" w:cs="Tahoma"/>
                <w:color w:val="000000"/>
                <w:sz w:val="20"/>
                <w:szCs w:val="20"/>
                <w:lang w:val="id-ID"/>
              </w:rPr>
            </w:pPr>
            <w:r>
              <w:rPr>
                <w:rFonts w:ascii="Tahoma" w:hAnsi="Tahoma" w:cs="Tahoma"/>
                <w:color w:val="000000"/>
                <w:sz w:val="20"/>
                <w:szCs w:val="20"/>
              </w:rPr>
              <w:t>Inovasi</w:t>
            </w:r>
            <w:r>
              <w:rPr>
                <w:rFonts w:ascii="Tahoma" w:hAnsi="Tahoma" w:cs="Tahoma"/>
                <w:color w:val="000000"/>
                <w:sz w:val="20"/>
                <w:szCs w:val="20"/>
                <w:lang w:val="id-ID"/>
              </w:rPr>
              <w:t xml:space="preserve"> ..............................................................................................................</w:t>
            </w:r>
          </w:p>
        </w:tc>
        <w:tc>
          <w:tcPr>
            <w:tcW w:w="451" w:type="dxa"/>
            <w:noWrap/>
            <w:vAlign w:val="center"/>
          </w:tcPr>
          <w:p>
            <w:pPr>
              <w:autoSpaceDE w:val="0"/>
              <w:autoSpaceDN w:val="0"/>
              <w:adjustRightInd w:val="0"/>
              <w:spacing w:before="60" w:after="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68</w:t>
            </w:r>
          </w:p>
        </w:tc>
      </w:tr>
      <w:tr>
        <w:tblPrEx>
          <w:tblCellMar>
            <w:top w:w="0" w:type="dxa"/>
            <w:left w:w="108" w:type="dxa"/>
            <w:bottom w:w="0" w:type="dxa"/>
            <w:right w:w="108" w:type="dxa"/>
          </w:tblCellMar>
        </w:tblPrEx>
        <w:trPr>
          <w:trHeight w:val="64" w:hRule="atLeast"/>
        </w:trPr>
        <w:tc>
          <w:tcPr>
            <w:tcW w:w="8814" w:type="dxa"/>
            <w:noWrap/>
            <w:vAlign w:val="center"/>
          </w:tcPr>
          <w:p>
            <w:pPr>
              <w:numPr>
                <w:ilvl w:val="0"/>
                <w:numId w:val="3"/>
              </w:numPr>
              <w:autoSpaceDE w:val="0"/>
              <w:autoSpaceDN w:val="0"/>
              <w:adjustRightInd w:val="0"/>
              <w:spacing w:before="60" w:after="0" w:line="240" w:lineRule="auto"/>
              <w:rPr>
                <w:rFonts w:ascii="Tahoma" w:hAnsi="Tahoma" w:cs="Tahoma"/>
                <w:color w:val="000000"/>
                <w:sz w:val="20"/>
                <w:szCs w:val="20"/>
              </w:rPr>
            </w:pPr>
            <w:r>
              <w:rPr>
                <w:rFonts w:ascii="Tahoma" w:hAnsi="Tahoma" w:cs="Tahoma"/>
                <w:color w:val="000000"/>
                <w:sz w:val="20"/>
                <w:szCs w:val="20"/>
              </w:rPr>
              <w:t xml:space="preserve">Evaluasi Kinerja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68</w:t>
            </w: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0" w:line="240" w:lineRule="auto"/>
              <w:rPr>
                <w:rFonts w:ascii="Tahoma" w:hAnsi="Tahoma" w:cs="Tahoma"/>
                <w:bCs/>
                <w:color w:val="000000"/>
                <w:sz w:val="20"/>
                <w:szCs w:val="20"/>
                <w:lang w:val="id-ID"/>
              </w:rPr>
            </w:pPr>
            <w:r>
              <w:rPr>
                <w:rFonts w:ascii="Tahoma" w:hAnsi="Tahoma" w:cs="Tahoma"/>
                <w:bCs/>
                <w:color w:val="000000"/>
                <w:sz w:val="20"/>
                <w:szCs w:val="20"/>
                <w:lang w:val="id-ID"/>
              </w:rPr>
              <w:t>BAB IV</w:t>
            </w:r>
          </w:p>
        </w:tc>
        <w:tc>
          <w:tcPr>
            <w:tcW w:w="451" w:type="dxa"/>
            <w:noWrap/>
            <w:vAlign w:val="center"/>
          </w:tcPr>
          <w:p>
            <w:pPr>
              <w:autoSpaceDE w:val="0"/>
              <w:autoSpaceDN w:val="0"/>
              <w:adjustRightInd w:val="0"/>
              <w:spacing w:before="60" w:after="0" w:line="240" w:lineRule="auto"/>
              <w:jc w:val="right"/>
              <w:rPr>
                <w:rFonts w:ascii="Tahoma" w:hAnsi="Tahoma" w:cs="Tahoma"/>
                <w:color w:val="000000"/>
                <w:sz w:val="20"/>
                <w:szCs w:val="20"/>
                <w:lang w:val="id-ID"/>
              </w:rPr>
            </w:pP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0" w:line="240" w:lineRule="auto"/>
              <w:rPr>
                <w:rFonts w:ascii="Tahoma" w:hAnsi="Tahoma" w:cs="Tahoma"/>
                <w:bCs/>
                <w:color w:val="000000"/>
                <w:sz w:val="20"/>
                <w:szCs w:val="20"/>
                <w:lang w:val="id-ID"/>
              </w:rPr>
            </w:pPr>
            <w:r>
              <w:rPr>
                <w:rFonts w:ascii="Tahoma" w:hAnsi="Tahoma" w:cs="Tahoma"/>
                <w:bCs/>
                <w:color w:val="000000"/>
                <w:sz w:val="20"/>
                <w:szCs w:val="20"/>
                <w:lang w:val="id-ID"/>
              </w:rPr>
              <w:t>PENUTUP .............................................................................................................................</w:t>
            </w:r>
          </w:p>
        </w:tc>
        <w:tc>
          <w:tcPr>
            <w:tcW w:w="451" w:type="dxa"/>
            <w:noWrap/>
            <w:vAlign w:val="center"/>
          </w:tcPr>
          <w:p>
            <w:pPr>
              <w:autoSpaceDE w:val="0"/>
              <w:autoSpaceDN w:val="0"/>
              <w:adjustRightInd w:val="0"/>
              <w:spacing w:before="60" w:after="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69</w:t>
            </w:r>
          </w:p>
        </w:tc>
      </w:tr>
      <w:tr>
        <w:tblPrEx>
          <w:tblCellMar>
            <w:top w:w="0" w:type="dxa"/>
            <w:left w:w="108" w:type="dxa"/>
            <w:bottom w:w="0" w:type="dxa"/>
            <w:right w:w="108" w:type="dxa"/>
          </w:tblCellMar>
        </w:tblPrEx>
        <w:trPr>
          <w:trHeight w:val="64" w:hRule="atLeast"/>
        </w:trPr>
        <w:tc>
          <w:tcPr>
            <w:tcW w:w="8814" w:type="dxa"/>
            <w:noWrap/>
            <w:vAlign w:val="center"/>
          </w:tcPr>
          <w:p>
            <w:pPr>
              <w:numPr>
                <w:ilvl w:val="0"/>
                <w:numId w:val="4"/>
              </w:numPr>
              <w:autoSpaceDE w:val="0"/>
              <w:autoSpaceDN w:val="0"/>
              <w:adjustRightInd w:val="0"/>
              <w:spacing w:before="60" w:after="0" w:line="240" w:lineRule="auto"/>
              <w:rPr>
                <w:rFonts w:ascii="Tahoma" w:hAnsi="Tahoma" w:cs="Tahoma"/>
                <w:bCs/>
                <w:color w:val="000000"/>
                <w:sz w:val="20"/>
                <w:szCs w:val="20"/>
                <w:lang w:val="id-ID"/>
              </w:rPr>
            </w:pPr>
            <w:r>
              <w:rPr>
                <w:rFonts w:ascii="Tahoma" w:hAnsi="Tahoma" w:cs="Tahoma"/>
                <w:bCs/>
                <w:color w:val="000000"/>
                <w:sz w:val="20"/>
                <w:szCs w:val="20"/>
                <w:lang w:val="id-ID"/>
              </w:rPr>
              <w:t>Kesimpulan ....................................................................................................</w:t>
            </w:r>
            <w:r>
              <w:rPr>
                <w:rFonts w:ascii="Tahoma" w:hAnsi="Tahoma" w:cs="Tahoma"/>
                <w:color w:val="000000"/>
                <w:sz w:val="20"/>
                <w:szCs w:val="20"/>
                <w:lang w:val="id-ID"/>
              </w:rPr>
              <w:t>.</w:t>
            </w:r>
            <w:r>
              <w:rPr>
                <w:rFonts w:ascii="Tahoma" w:hAnsi="Tahoma" w:cs="Tahoma"/>
                <w:bCs/>
                <w:color w:val="000000"/>
                <w:sz w:val="20"/>
                <w:szCs w:val="20"/>
                <w:lang w:val="id-ID"/>
              </w:rPr>
              <w:t>....</w:t>
            </w:r>
          </w:p>
        </w:tc>
        <w:tc>
          <w:tcPr>
            <w:tcW w:w="451" w:type="dxa"/>
            <w:noWrap/>
            <w:vAlign w:val="center"/>
          </w:tcPr>
          <w:p>
            <w:pPr>
              <w:autoSpaceDE w:val="0"/>
              <w:autoSpaceDN w:val="0"/>
              <w:adjustRightInd w:val="0"/>
              <w:spacing w:before="60" w:after="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69</w:t>
            </w:r>
          </w:p>
        </w:tc>
      </w:tr>
      <w:tr>
        <w:tblPrEx>
          <w:tblCellMar>
            <w:top w:w="0" w:type="dxa"/>
            <w:left w:w="108" w:type="dxa"/>
            <w:bottom w:w="0" w:type="dxa"/>
            <w:right w:w="108" w:type="dxa"/>
          </w:tblCellMar>
        </w:tblPrEx>
        <w:trPr>
          <w:trHeight w:val="64" w:hRule="atLeast"/>
        </w:trPr>
        <w:tc>
          <w:tcPr>
            <w:tcW w:w="8814" w:type="dxa"/>
            <w:noWrap/>
            <w:vAlign w:val="center"/>
          </w:tcPr>
          <w:p>
            <w:pPr>
              <w:numPr>
                <w:ilvl w:val="0"/>
                <w:numId w:val="4"/>
              </w:numPr>
              <w:autoSpaceDE w:val="0"/>
              <w:autoSpaceDN w:val="0"/>
              <w:adjustRightInd w:val="0"/>
              <w:spacing w:before="60" w:after="0" w:line="240" w:lineRule="auto"/>
              <w:rPr>
                <w:rFonts w:ascii="Tahoma" w:hAnsi="Tahoma" w:cs="Tahoma"/>
                <w:bCs/>
                <w:color w:val="000000"/>
                <w:sz w:val="20"/>
                <w:szCs w:val="20"/>
                <w:lang w:val="id-ID"/>
              </w:rPr>
            </w:pPr>
            <w:r>
              <w:rPr>
                <w:rFonts w:ascii="Tahoma" w:hAnsi="Tahoma" w:cs="Tahoma"/>
                <w:bCs/>
                <w:color w:val="000000"/>
                <w:sz w:val="20"/>
                <w:szCs w:val="20"/>
                <w:lang w:val="id-ID"/>
              </w:rPr>
              <w:t xml:space="preserve">Langkah – Langkah </w:t>
            </w:r>
            <w:r>
              <w:rPr>
                <w:rFonts w:ascii="Tahoma" w:hAnsi="Tahoma" w:cs="Tahoma"/>
                <w:bCs/>
                <w:color w:val="000000"/>
                <w:sz w:val="20"/>
                <w:szCs w:val="20"/>
              </w:rPr>
              <w:t xml:space="preserve"> di Masa Mendatang   </w:t>
            </w:r>
            <w:r>
              <w:rPr>
                <w:rFonts w:ascii="Tahoma" w:hAnsi="Tahoma" w:cs="Tahoma"/>
                <w:bCs/>
                <w:color w:val="000000"/>
                <w:sz w:val="20"/>
                <w:szCs w:val="20"/>
                <w:lang w:val="id-ID"/>
              </w:rPr>
              <w:t>............................................................</w:t>
            </w:r>
          </w:p>
        </w:tc>
        <w:tc>
          <w:tcPr>
            <w:tcW w:w="451" w:type="dxa"/>
            <w:noWrap/>
            <w:vAlign w:val="center"/>
          </w:tcPr>
          <w:p>
            <w:pPr>
              <w:autoSpaceDE w:val="0"/>
              <w:autoSpaceDN w:val="0"/>
              <w:adjustRightInd w:val="0"/>
              <w:spacing w:before="60" w:after="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71</w:t>
            </w: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0" w:line="240" w:lineRule="auto"/>
              <w:rPr>
                <w:rFonts w:ascii="Tahoma" w:hAnsi="Tahoma" w:cs="Tahoma"/>
                <w:bCs/>
                <w:color w:val="000000"/>
                <w:sz w:val="20"/>
                <w:szCs w:val="20"/>
              </w:rPr>
            </w:pPr>
            <w:r>
              <w:rPr>
                <w:rFonts w:ascii="Tahoma" w:hAnsi="Tahoma" w:cs="Tahoma"/>
                <w:bCs/>
                <w:color w:val="000000"/>
                <w:sz w:val="20"/>
                <w:szCs w:val="20"/>
                <w:lang w:val="id-ID"/>
              </w:rPr>
              <w:t>LAMPIRAN</w:t>
            </w:r>
          </w:p>
        </w:tc>
        <w:tc>
          <w:tcPr>
            <w:tcW w:w="451" w:type="dxa"/>
            <w:noWrap/>
            <w:vAlign w:val="center"/>
          </w:tcPr>
          <w:p>
            <w:pPr>
              <w:autoSpaceDE w:val="0"/>
              <w:autoSpaceDN w:val="0"/>
              <w:adjustRightInd w:val="0"/>
              <w:spacing w:before="60" w:after="0" w:line="240" w:lineRule="auto"/>
              <w:jc w:val="right"/>
              <w:rPr>
                <w:rFonts w:ascii="Tahoma" w:hAnsi="Tahoma" w:cs="Tahoma"/>
                <w:color w:val="000000"/>
                <w:sz w:val="20"/>
                <w:szCs w:val="20"/>
              </w:rPr>
            </w:pPr>
          </w:p>
        </w:tc>
      </w:tr>
    </w:tbl>
    <w:p>
      <w:pPr>
        <w:pStyle w:val="31"/>
        <w:spacing w:after="0" w:line="360" w:lineRule="auto"/>
        <w:rPr>
          <w:b/>
          <w:bCs/>
          <w:color w:val="000000"/>
          <w:lang w:val="en-US"/>
        </w:rPr>
      </w:pPr>
    </w:p>
    <w:p>
      <w:pPr>
        <w:autoSpaceDE w:val="0"/>
        <w:autoSpaceDN w:val="0"/>
        <w:adjustRightInd w:val="0"/>
        <w:spacing w:after="0" w:line="240" w:lineRule="auto"/>
        <w:rPr>
          <w:rFonts w:eastAsia="Times New Roman" w:cs="Arial"/>
          <w:b/>
          <w:bCs/>
          <w:sz w:val="56"/>
          <w:szCs w:val="56"/>
          <w:lang w:eastAsia="id-ID"/>
        </w:rPr>
      </w:pPr>
    </w:p>
    <w:p>
      <w:pPr>
        <w:autoSpaceDE w:val="0"/>
        <w:autoSpaceDN w:val="0"/>
        <w:adjustRightInd w:val="0"/>
        <w:spacing w:after="0" w:line="240" w:lineRule="auto"/>
        <w:rPr>
          <w:rFonts w:eastAsia="Times New Roman" w:cs="Arial"/>
          <w:b/>
          <w:bCs/>
          <w:sz w:val="56"/>
          <w:szCs w:val="56"/>
          <w:lang w:eastAsia="id-ID"/>
        </w:rPr>
      </w:pPr>
    </w:p>
    <w:p>
      <w:pPr>
        <w:autoSpaceDE w:val="0"/>
        <w:autoSpaceDN w:val="0"/>
        <w:adjustRightInd w:val="0"/>
        <w:spacing w:after="0" w:line="240" w:lineRule="auto"/>
        <w:rPr>
          <w:rFonts w:eastAsia="Times New Roman" w:cs="Arial"/>
          <w:b/>
          <w:bCs/>
          <w:sz w:val="56"/>
          <w:szCs w:val="56"/>
          <w:lang w:eastAsia="id-ID"/>
        </w:rPr>
      </w:pPr>
    </w:p>
    <w:p>
      <w:pPr>
        <w:autoSpaceDE w:val="0"/>
        <w:autoSpaceDN w:val="0"/>
        <w:adjustRightInd w:val="0"/>
        <w:spacing w:afterLines="100" w:line="240" w:lineRule="auto"/>
        <w:rPr>
          <w:rFonts w:cs="MyriadPro-BoldSemiCnIt"/>
          <w:b/>
          <w:bCs/>
          <w:i/>
          <w:iCs/>
          <w:color w:val="000000"/>
          <w:sz w:val="26"/>
          <w:szCs w:val="26"/>
        </w:rPr>
      </w:pPr>
      <w:r>
        <w:rPr>
          <w:rFonts w:cs="MyriadPro-BoldSemiCnIt"/>
          <w:b/>
          <w:bCs/>
          <w:i/>
          <w:iCs/>
          <w:color w:val="000000"/>
          <w:sz w:val="80"/>
          <w:szCs w:val="80"/>
        </w:rPr>
        <w:t>Daftar Tabel</w:t>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p>
    <w:p>
      <w:pPr>
        <w:autoSpaceDE w:val="0"/>
        <w:autoSpaceDN w:val="0"/>
        <w:adjustRightInd w:val="0"/>
        <w:spacing w:after="0" w:line="240" w:lineRule="auto"/>
        <w:jc w:val="center"/>
        <w:rPr>
          <w:rFonts w:cs="MyriadPro-Light"/>
          <w:color w:val="000000"/>
        </w:rPr>
      </w:pP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Hal</w:t>
      </w:r>
    </w:p>
    <w:tbl>
      <w:tblPr>
        <w:tblStyle w:val="7"/>
        <w:tblW w:w="0" w:type="auto"/>
        <w:tblInd w:w="0" w:type="dxa"/>
        <w:tblLayout w:type="autofit"/>
        <w:tblCellMar>
          <w:top w:w="0" w:type="dxa"/>
          <w:left w:w="108" w:type="dxa"/>
          <w:bottom w:w="0" w:type="dxa"/>
          <w:right w:w="108" w:type="dxa"/>
        </w:tblCellMar>
      </w:tblPr>
      <w:tblGrid>
        <w:gridCol w:w="8814"/>
        <w:gridCol w:w="451"/>
      </w:tblGrid>
      <w:tr>
        <w:tblPrEx>
          <w:tblCellMar>
            <w:top w:w="0" w:type="dxa"/>
            <w:left w:w="108" w:type="dxa"/>
            <w:bottom w:w="0" w:type="dxa"/>
            <w:right w:w="108" w:type="dxa"/>
          </w:tblCellMar>
        </w:tblPrEx>
        <w:tc>
          <w:tcPr>
            <w:tcW w:w="8814" w:type="dxa"/>
            <w:noWrap/>
            <w:vAlign w:val="center"/>
          </w:tcPr>
          <w:p>
            <w:pPr>
              <w:numPr>
                <w:ilvl w:val="1"/>
                <w:numId w:val="5"/>
              </w:numPr>
              <w:autoSpaceDE w:val="0"/>
              <w:autoSpaceDN w:val="0"/>
              <w:adjustRightInd w:val="0"/>
              <w:spacing w:before="60" w:afterLines="50" w:line="240" w:lineRule="auto"/>
              <w:ind w:left="440" w:hanging="440" w:hangingChars="220"/>
              <w:rPr>
                <w:rFonts w:ascii="Tahoma" w:hAnsi="Tahoma" w:cs="Tahoma"/>
                <w:color w:val="000000"/>
                <w:sz w:val="20"/>
                <w:szCs w:val="20"/>
              </w:rPr>
            </w:pPr>
            <w:r>
              <w:rPr>
                <w:rFonts w:ascii="Tahoma" w:hAnsi="Tahoma" w:cs="Tahoma"/>
                <w:color w:val="000000"/>
                <w:sz w:val="20"/>
                <w:szCs w:val="20"/>
              </w:rPr>
              <w:t xml:space="preserve"> Komposisi PNS Badan Keuangan Daerah Provinsi Sumatera Barat menurut Pendidikan, Pangkat, dan Golongan serta Jabatan Kondisi 31 Desember 20</w:t>
            </w:r>
            <w:r>
              <w:rPr>
                <w:rFonts w:hint="default" w:ascii="Tahoma" w:hAnsi="Tahoma" w:cs="Tahoma"/>
                <w:color w:val="000000"/>
                <w:sz w:val="20"/>
                <w:szCs w:val="20"/>
                <w:lang w:val="en-US"/>
              </w:rPr>
              <w:t>20</w:t>
            </w:r>
            <w:r>
              <w:rPr>
                <w:rFonts w:ascii="Tahoma" w:hAnsi="Tahoma" w:cs="Tahoma"/>
                <w:color w:val="000000"/>
                <w:sz w:val="20"/>
                <w:szCs w:val="20"/>
              </w:rPr>
              <w:t xml:space="preserve">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ascii="Tahoma" w:hAnsi="Tahoma" w:cs="Tahoma"/>
                <w:color w:val="000000"/>
                <w:sz w:val="20"/>
                <w:szCs w:val="20"/>
                <w:lang w:val="id-ID"/>
              </w:rPr>
            </w:pPr>
            <w:r>
              <w:rPr>
                <w:rFonts w:ascii="Tahoma" w:hAnsi="Tahoma" w:cs="Tahoma"/>
                <w:color w:val="000000"/>
                <w:sz w:val="20"/>
                <w:szCs w:val="20"/>
              </w:rPr>
              <w:t>5</w:t>
            </w:r>
          </w:p>
        </w:tc>
      </w:tr>
      <w:tr>
        <w:tblPrEx>
          <w:tblCellMar>
            <w:top w:w="0" w:type="dxa"/>
            <w:left w:w="108" w:type="dxa"/>
            <w:bottom w:w="0" w:type="dxa"/>
            <w:right w:w="108" w:type="dxa"/>
          </w:tblCellMar>
        </w:tblPrEx>
        <w:tc>
          <w:tcPr>
            <w:tcW w:w="8814" w:type="dxa"/>
            <w:noWrap/>
            <w:vAlign w:val="center"/>
          </w:tcPr>
          <w:p>
            <w:pPr>
              <w:autoSpaceDE w:val="0"/>
              <w:autoSpaceDN w:val="0"/>
              <w:adjustRightInd w:val="0"/>
              <w:spacing w:before="60" w:afterLines="50" w:line="240" w:lineRule="auto"/>
              <w:ind w:left="440" w:hanging="440" w:hangingChars="220"/>
              <w:rPr>
                <w:rFonts w:ascii="Tahoma" w:hAnsi="Tahoma" w:cs="Tahoma"/>
                <w:color w:val="000000"/>
                <w:sz w:val="20"/>
                <w:szCs w:val="20"/>
              </w:rPr>
            </w:pPr>
            <w:r>
              <w:rPr>
                <w:rFonts w:hint="default" w:ascii="Tahoma" w:hAnsi="Tahoma" w:cs="Tahoma"/>
                <w:color w:val="000000"/>
                <w:sz w:val="20"/>
                <w:szCs w:val="20"/>
                <w:lang w:val="en-US"/>
              </w:rPr>
              <w:t>1</w:t>
            </w:r>
            <w:r>
              <w:rPr>
                <w:rFonts w:ascii="Tahoma" w:hAnsi="Tahoma" w:cs="Tahoma"/>
                <w:color w:val="000000"/>
                <w:sz w:val="20"/>
                <w:szCs w:val="20"/>
              </w:rPr>
              <w:t>.</w:t>
            </w:r>
            <w:r>
              <w:rPr>
                <w:rFonts w:hint="default" w:ascii="Tahoma" w:hAnsi="Tahoma" w:cs="Tahoma"/>
                <w:color w:val="000000"/>
                <w:sz w:val="20"/>
                <w:szCs w:val="20"/>
                <w:lang w:val="en-US"/>
              </w:rPr>
              <w:t>2</w:t>
            </w:r>
            <w:r>
              <w:rPr>
                <w:rFonts w:ascii="Tahoma" w:hAnsi="Tahoma" w:cs="Tahoma"/>
                <w:color w:val="000000"/>
                <w:sz w:val="20"/>
                <w:szCs w:val="20"/>
              </w:rPr>
              <w:t xml:space="preserve">   Keterkaitan RPJMD dengan Badan Keuangan Daerah Provinsi Sumatera Barat   </w:t>
            </w:r>
            <w:r>
              <w:rPr>
                <w:rFonts w:ascii="Tahoma" w:hAnsi="Tahoma" w:cs="Tahoma"/>
                <w:bCs/>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7</w:t>
            </w:r>
          </w:p>
        </w:tc>
      </w:tr>
      <w:tr>
        <w:tblPrEx>
          <w:tblCellMar>
            <w:top w:w="0" w:type="dxa"/>
            <w:left w:w="108" w:type="dxa"/>
            <w:bottom w:w="0" w:type="dxa"/>
            <w:right w:w="108" w:type="dxa"/>
          </w:tblCellMar>
        </w:tblPrEx>
        <w:tc>
          <w:tcPr>
            <w:tcW w:w="8814" w:type="dxa"/>
            <w:noWrap/>
            <w:vAlign w:val="center"/>
          </w:tcPr>
          <w:p>
            <w:pPr>
              <w:autoSpaceDE w:val="0"/>
              <w:autoSpaceDN w:val="0"/>
              <w:adjustRightInd w:val="0"/>
              <w:spacing w:before="60" w:afterLines="50" w:line="240" w:lineRule="auto"/>
              <w:ind w:left="440" w:hanging="440" w:hangingChars="220"/>
              <w:rPr>
                <w:rFonts w:ascii="Tahoma" w:hAnsi="Tahoma" w:cs="Tahoma"/>
                <w:color w:val="000000"/>
                <w:sz w:val="20"/>
                <w:szCs w:val="20"/>
              </w:rPr>
            </w:pPr>
            <w:r>
              <w:rPr>
                <w:rFonts w:hint="default" w:ascii="Tahoma" w:hAnsi="Tahoma" w:cs="Tahoma"/>
                <w:color w:val="000000"/>
                <w:sz w:val="20"/>
                <w:szCs w:val="20"/>
                <w:lang w:val="en-US"/>
              </w:rPr>
              <w:t>1.3</w:t>
            </w:r>
            <w:r>
              <w:rPr>
                <w:rFonts w:ascii="Tahoma" w:hAnsi="Tahoma" w:cs="Tahoma"/>
                <w:color w:val="000000"/>
                <w:sz w:val="20"/>
                <w:szCs w:val="20"/>
              </w:rPr>
              <w:t xml:space="preserve"> </w:t>
            </w:r>
            <w:r>
              <w:rPr>
                <w:rFonts w:hint="default" w:ascii="Tahoma" w:hAnsi="Tahoma" w:cs="Tahoma"/>
                <w:color w:val="000000"/>
                <w:sz w:val="20"/>
                <w:szCs w:val="20"/>
                <w:lang w:val="en-US"/>
              </w:rPr>
              <w:t xml:space="preserve">  </w:t>
            </w:r>
            <w:r>
              <w:rPr>
                <w:rFonts w:ascii="Tahoma" w:hAnsi="Tahoma" w:cs="Tahoma"/>
                <w:color w:val="000000"/>
                <w:sz w:val="20"/>
                <w:szCs w:val="20"/>
              </w:rPr>
              <w:t xml:space="preserve">Keterkaitan antara RPJMD Provinsi Sumatera Barat dengan Renstra Badan Keuangan Daerah Provinsi Sumatera Barat   </w:t>
            </w:r>
            <w:r>
              <w:rPr>
                <w:rFonts w:ascii="Tahoma" w:hAnsi="Tahoma" w:cs="Tahoma"/>
                <w:bCs/>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ascii="Tahoma" w:hAnsi="Tahoma" w:cs="Tahoma"/>
                <w:color w:val="000000"/>
                <w:sz w:val="20"/>
                <w:szCs w:val="20"/>
              </w:rPr>
            </w:pPr>
            <w:r>
              <w:rPr>
                <w:rFonts w:hint="default" w:ascii="Tahoma" w:hAnsi="Tahoma" w:cs="Tahoma"/>
                <w:color w:val="000000"/>
                <w:sz w:val="20"/>
                <w:szCs w:val="20"/>
                <w:lang w:val="en-US"/>
              </w:rPr>
              <w:t>8</w:t>
            </w:r>
          </w:p>
        </w:tc>
      </w:tr>
      <w:tr>
        <w:tblPrEx>
          <w:tblCellMar>
            <w:top w:w="0" w:type="dxa"/>
            <w:left w:w="108" w:type="dxa"/>
            <w:bottom w:w="0" w:type="dxa"/>
            <w:right w:w="108" w:type="dxa"/>
          </w:tblCellMar>
        </w:tblPrEx>
        <w:tc>
          <w:tcPr>
            <w:tcW w:w="8814" w:type="dxa"/>
            <w:noWrap/>
            <w:vAlign w:val="center"/>
          </w:tcPr>
          <w:p>
            <w:pPr>
              <w:autoSpaceDE w:val="0"/>
              <w:autoSpaceDN w:val="0"/>
              <w:adjustRightInd w:val="0"/>
              <w:spacing w:before="60" w:afterLines="50" w:line="240" w:lineRule="auto"/>
              <w:ind w:left="440" w:hanging="440" w:hangingChars="220"/>
              <w:rPr>
                <w:rFonts w:ascii="Tahoma" w:hAnsi="Tahoma" w:cs="Tahoma"/>
                <w:color w:val="000000"/>
                <w:sz w:val="20"/>
                <w:szCs w:val="20"/>
              </w:rPr>
            </w:pPr>
            <w:r>
              <w:rPr>
                <w:rFonts w:hint="default" w:ascii="Tahoma" w:hAnsi="Tahoma" w:cs="Tahoma"/>
                <w:color w:val="000000"/>
                <w:sz w:val="20"/>
                <w:szCs w:val="20"/>
                <w:lang w:val="en-US"/>
              </w:rPr>
              <w:t>1.4</w:t>
            </w:r>
            <w:r>
              <w:rPr>
                <w:rFonts w:ascii="Tahoma" w:hAnsi="Tahoma" w:cs="Tahoma"/>
                <w:color w:val="000000"/>
                <w:sz w:val="20"/>
                <w:szCs w:val="20"/>
              </w:rPr>
              <w:t xml:space="preserve">   Tujuan Renstra 2016 - 2021 Badan Keuangan Daerah Provinsi Sumatera Barat   </w:t>
            </w:r>
            <w:r>
              <w:rPr>
                <w:rFonts w:ascii="Tahoma" w:hAnsi="Tahoma" w:cs="Tahoma"/>
                <w:bCs/>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ascii="Tahoma" w:hAnsi="Tahoma" w:cs="Tahoma"/>
                <w:color w:val="000000"/>
                <w:sz w:val="20"/>
                <w:szCs w:val="20"/>
              </w:rPr>
            </w:pPr>
            <w:r>
              <w:rPr>
                <w:rFonts w:hint="default" w:ascii="Tahoma" w:hAnsi="Tahoma" w:cs="Tahoma"/>
                <w:color w:val="000000"/>
                <w:sz w:val="20"/>
                <w:szCs w:val="20"/>
                <w:lang w:val="en-US"/>
              </w:rPr>
              <w:t>8</w:t>
            </w:r>
          </w:p>
        </w:tc>
      </w:tr>
      <w:tr>
        <w:tblPrEx>
          <w:tblCellMar>
            <w:top w:w="0" w:type="dxa"/>
            <w:left w:w="108" w:type="dxa"/>
            <w:bottom w:w="0" w:type="dxa"/>
            <w:right w:w="108" w:type="dxa"/>
          </w:tblCellMar>
        </w:tblPrEx>
        <w:tc>
          <w:tcPr>
            <w:tcW w:w="8814" w:type="dxa"/>
            <w:noWrap/>
            <w:vAlign w:val="center"/>
          </w:tcPr>
          <w:p>
            <w:pPr>
              <w:autoSpaceDE w:val="0"/>
              <w:autoSpaceDN w:val="0"/>
              <w:adjustRightInd w:val="0"/>
              <w:spacing w:before="60" w:afterLines="50" w:line="240" w:lineRule="auto"/>
              <w:ind w:left="440" w:hanging="440" w:hangingChars="220"/>
              <w:rPr>
                <w:rFonts w:ascii="Tahoma" w:hAnsi="Tahoma" w:cs="Tahoma"/>
                <w:color w:val="000000"/>
                <w:sz w:val="20"/>
                <w:szCs w:val="20"/>
              </w:rPr>
            </w:pPr>
            <w:r>
              <w:rPr>
                <w:rFonts w:hint="default" w:ascii="Tahoma" w:hAnsi="Tahoma" w:cs="Tahoma"/>
                <w:color w:val="000000"/>
                <w:sz w:val="20"/>
                <w:szCs w:val="20"/>
                <w:lang w:val="en-US"/>
              </w:rPr>
              <w:t>1.5</w:t>
            </w:r>
            <w:r>
              <w:rPr>
                <w:rFonts w:ascii="Tahoma" w:hAnsi="Tahoma" w:cs="Tahoma"/>
                <w:color w:val="000000"/>
                <w:sz w:val="20"/>
                <w:szCs w:val="20"/>
              </w:rPr>
              <w:t xml:space="preserve">  </w:t>
            </w:r>
            <w:r>
              <w:rPr>
                <w:rFonts w:hint="default" w:ascii="Tahoma" w:hAnsi="Tahoma" w:cs="Tahoma"/>
                <w:color w:val="000000"/>
                <w:sz w:val="20"/>
                <w:szCs w:val="20"/>
                <w:lang w:val="en-US"/>
              </w:rPr>
              <w:t xml:space="preserve"> </w:t>
            </w:r>
            <w:r>
              <w:rPr>
                <w:rFonts w:ascii="Tahoma" w:hAnsi="Tahoma" w:cs="Tahoma"/>
                <w:color w:val="000000"/>
                <w:sz w:val="20"/>
                <w:szCs w:val="20"/>
              </w:rPr>
              <w:t>Indikator Kinerja Umum Pemerintah Provinsi Sumatera Barat sesuai dengan Tugas, Pokok, dan Fungsi Badan Keuangan Daerah Tahun 20</w:t>
            </w:r>
            <w:r>
              <w:rPr>
                <w:rFonts w:hint="default" w:ascii="Tahoma" w:hAnsi="Tahoma" w:cs="Tahoma"/>
                <w:color w:val="000000"/>
                <w:sz w:val="20"/>
                <w:szCs w:val="20"/>
                <w:lang w:val="en-US"/>
              </w:rPr>
              <w:t>20</w:t>
            </w:r>
            <w:r>
              <w:rPr>
                <w:rFonts w:ascii="Tahoma" w:hAnsi="Tahoma" w:cs="Tahoma"/>
                <w:color w:val="000000"/>
                <w:sz w:val="20"/>
                <w:szCs w:val="20"/>
              </w:rPr>
              <w:t xml:space="preserve">   </w:t>
            </w:r>
            <w:r>
              <w:rPr>
                <w:rFonts w:ascii="Tahoma" w:hAnsi="Tahoma" w:cs="Tahoma"/>
                <w:bCs/>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ascii="Tahoma" w:hAnsi="Tahoma" w:cs="Tahoma"/>
                <w:color w:val="000000"/>
                <w:sz w:val="20"/>
                <w:szCs w:val="20"/>
              </w:rPr>
            </w:pPr>
            <w:r>
              <w:rPr>
                <w:rFonts w:hint="default" w:ascii="Tahoma" w:hAnsi="Tahoma" w:cs="Tahoma"/>
                <w:color w:val="000000"/>
                <w:sz w:val="20"/>
                <w:szCs w:val="20"/>
                <w:lang w:val="en-US"/>
              </w:rPr>
              <w:t>9</w:t>
            </w:r>
          </w:p>
        </w:tc>
      </w:tr>
      <w:tr>
        <w:tblPrEx>
          <w:tblCellMar>
            <w:top w:w="0" w:type="dxa"/>
            <w:left w:w="108" w:type="dxa"/>
            <w:bottom w:w="0" w:type="dxa"/>
            <w:right w:w="108" w:type="dxa"/>
          </w:tblCellMar>
        </w:tblPrEx>
        <w:tc>
          <w:tcPr>
            <w:tcW w:w="8814" w:type="dxa"/>
            <w:noWrap/>
            <w:vAlign w:val="center"/>
          </w:tcPr>
          <w:p>
            <w:pPr>
              <w:autoSpaceDE w:val="0"/>
              <w:autoSpaceDN w:val="0"/>
              <w:adjustRightInd w:val="0"/>
              <w:spacing w:before="60" w:afterLines="50" w:line="240" w:lineRule="auto"/>
              <w:rPr>
                <w:rFonts w:ascii="Tahoma" w:hAnsi="Tahoma" w:cs="Tahoma"/>
                <w:color w:val="000000"/>
                <w:sz w:val="20"/>
                <w:szCs w:val="20"/>
              </w:rPr>
            </w:pPr>
            <w:r>
              <w:rPr>
                <w:rFonts w:ascii="Tahoma" w:hAnsi="Tahoma" w:cs="Tahoma"/>
                <w:color w:val="000000"/>
                <w:sz w:val="20"/>
                <w:szCs w:val="20"/>
              </w:rPr>
              <w:t>2.</w:t>
            </w:r>
            <w:r>
              <w:rPr>
                <w:rFonts w:hint="default" w:ascii="Tahoma" w:hAnsi="Tahoma" w:cs="Tahoma"/>
                <w:color w:val="000000"/>
                <w:sz w:val="20"/>
                <w:szCs w:val="20"/>
                <w:lang w:val="en-US"/>
              </w:rPr>
              <w:t>1</w:t>
            </w:r>
            <w:r>
              <w:rPr>
                <w:rFonts w:ascii="Tahoma" w:hAnsi="Tahoma" w:cs="Tahoma"/>
                <w:color w:val="000000"/>
                <w:sz w:val="20"/>
                <w:szCs w:val="20"/>
              </w:rPr>
              <w:t xml:space="preserve">   Penetapan Kinerja Badan Keuangan Daerah Tahun 20</w:t>
            </w:r>
            <w:r>
              <w:rPr>
                <w:rFonts w:hint="default" w:ascii="Tahoma" w:hAnsi="Tahoma" w:cs="Tahoma"/>
                <w:color w:val="000000"/>
                <w:sz w:val="20"/>
                <w:szCs w:val="20"/>
                <w:lang w:val="en-US"/>
              </w:rPr>
              <w:t>20</w:t>
            </w:r>
            <w:r>
              <w:rPr>
                <w:rFonts w:ascii="Tahoma" w:hAnsi="Tahoma" w:cs="Tahoma"/>
                <w:color w:val="000000"/>
                <w:sz w:val="20"/>
                <w:szCs w:val="20"/>
              </w:rPr>
              <w:t xml:space="preserve">  </w:t>
            </w:r>
            <w:r>
              <w:rPr>
                <w:rFonts w:ascii="Tahoma" w:hAnsi="Tahoma" w:cs="Tahoma"/>
                <w:bCs/>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13</w:t>
            </w: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Lines="50" w:line="240" w:lineRule="auto"/>
              <w:rPr>
                <w:rFonts w:ascii="Tahoma" w:hAnsi="Tahoma" w:cs="Tahoma"/>
                <w:color w:val="000000"/>
                <w:sz w:val="20"/>
                <w:szCs w:val="20"/>
              </w:rPr>
            </w:pPr>
            <w:r>
              <w:rPr>
                <w:rFonts w:ascii="Tahoma" w:hAnsi="Tahoma" w:cs="Tahoma"/>
                <w:color w:val="000000"/>
                <w:sz w:val="20"/>
                <w:szCs w:val="20"/>
              </w:rPr>
              <w:t>2.</w:t>
            </w:r>
            <w:r>
              <w:rPr>
                <w:rFonts w:hint="default" w:ascii="Tahoma" w:hAnsi="Tahoma" w:cs="Tahoma"/>
                <w:color w:val="000000"/>
                <w:sz w:val="20"/>
                <w:szCs w:val="20"/>
                <w:lang w:val="en-US"/>
              </w:rPr>
              <w:t>2</w:t>
            </w:r>
            <w:r>
              <w:rPr>
                <w:rFonts w:ascii="Tahoma" w:hAnsi="Tahoma" w:cs="Tahoma"/>
                <w:color w:val="000000"/>
                <w:sz w:val="20"/>
                <w:szCs w:val="20"/>
              </w:rPr>
              <w:t xml:space="preserve">   Program, Kegiatan, dan Indikator Kinerja Badan Keuangan Daerah Tahun 20</w:t>
            </w:r>
            <w:r>
              <w:rPr>
                <w:rFonts w:hint="default" w:ascii="Tahoma" w:hAnsi="Tahoma" w:cs="Tahoma"/>
                <w:color w:val="000000"/>
                <w:sz w:val="20"/>
                <w:szCs w:val="20"/>
                <w:lang w:val="en-US"/>
              </w:rPr>
              <w:t>20</w:t>
            </w:r>
            <w:r>
              <w:rPr>
                <w:rFonts w:ascii="Tahoma" w:hAnsi="Tahoma" w:cs="Tahoma"/>
                <w:color w:val="000000"/>
                <w:sz w:val="20"/>
                <w:szCs w:val="20"/>
              </w:rPr>
              <w:t xml:space="preserve">   </w:t>
            </w:r>
            <w:r>
              <w:rPr>
                <w:rFonts w:ascii="Tahoma" w:hAnsi="Tahoma" w:cs="Tahoma"/>
                <w:bCs/>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18</w:t>
            </w: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Lines="50" w:line="240" w:lineRule="auto"/>
              <w:rPr>
                <w:rFonts w:ascii="Tahoma" w:hAnsi="Tahoma" w:cs="Tahoma"/>
                <w:color w:val="000000"/>
                <w:sz w:val="20"/>
                <w:szCs w:val="20"/>
                <w:lang w:val="id-ID"/>
              </w:rPr>
            </w:pPr>
            <w:r>
              <w:rPr>
                <w:rFonts w:ascii="Tahoma" w:hAnsi="Tahoma" w:cs="Tahoma"/>
                <w:color w:val="000000"/>
                <w:sz w:val="20"/>
                <w:szCs w:val="20"/>
              </w:rPr>
              <w:t xml:space="preserve">3.1   Penilaian Kinerja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29</w:t>
            </w: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Lines="50" w:line="240" w:lineRule="auto"/>
              <w:rPr>
                <w:rFonts w:ascii="Tahoma" w:hAnsi="Tahoma" w:cs="Tahoma"/>
                <w:color w:val="000000"/>
                <w:sz w:val="20"/>
                <w:szCs w:val="20"/>
              </w:rPr>
            </w:pPr>
            <w:r>
              <w:rPr>
                <w:rFonts w:ascii="Tahoma" w:hAnsi="Tahoma" w:cs="Tahoma"/>
                <w:color w:val="000000"/>
                <w:sz w:val="20"/>
                <w:szCs w:val="20"/>
              </w:rPr>
              <w:t>3.2   Pengukuran Kinerja Badan Keuangan Daerah Tahun 20</w:t>
            </w:r>
            <w:r>
              <w:rPr>
                <w:rFonts w:hint="default" w:ascii="Tahoma" w:hAnsi="Tahoma" w:cs="Tahoma"/>
                <w:color w:val="000000"/>
                <w:sz w:val="20"/>
                <w:szCs w:val="20"/>
                <w:lang w:val="en-US"/>
              </w:rPr>
              <w:t>20</w:t>
            </w:r>
            <w:r>
              <w:rPr>
                <w:rFonts w:ascii="Tahoma" w:hAnsi="Tahoma" w:cs="Tahoma"/>
                <w:color w:val="000000"/>
                <w:sz w:val="20"/>
                <w:szCs w:val="20"/>
              </w:rPr>
              <w:t xml:space="preserve">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31</w:t>
            </w: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Lines="50" w:line="240" w:lineRule="auto"/>
              <w:rPr>
                <w:rFonts w:hint="default" w:ascii="Tahoma" w:hAnsi="Tahoma" w:cs="Tahoma"/>
                <w:color w:val="000000"/>
                <w:sz w:val="20"/>
                <w:szCs w:val="20"/>
                <w:lang w:val="en-US"/>
              </w:rPr>
            </w:pPr>
            <w:r>
              <w:rPr>
                <w:rFonts w:ascii="Tahoma" w:hAnsi="Tahoma" w:cs="Tahoma"/>
                <w:color w:val="000000"/>
                <w:sz w:val="20"/>
                <w:szCs w:val="20"/>
              </w:rPr>
              <w:t>3.</w:t>
            </w:r>
            <w:r>
              <w:rPr>
                <w:rFonts w:hint="default" w:ascii="Tahoma" w:hAnsi="Tahoma" w:cs="Tahoma"/>
                <w:color w:val="000000"/>
                <w:sz w:val="20"/>
                <w:szCs w:val="20"/>
                <w:lang w:val="en-US"/>
              </w:rPr>
              <w:t>3</w:t>
            </w:r>
            <w:r>
              <w:rPr>
                <w:rFonts w:ascii="Tahoma" w:hAnsi="Tahoma" w:cs="Tahoma"/>
                <w:color w:val="000000"/>
                <w:sz w:val="20"/>
                <w:szCs w:val="20"/>
              </w:rPr>
              <w:t xml:space="preserve">   </w:t>
            </w:r>
            <w:r>
              <w:rPr>
                <w:rFonts w:hint="default" w:ascii="Tahoma" w:hAnsi="Tahoma" w:cs="Tahoma"/>
                <w:color w:val="000000"/>
                <w:sz w:val="20"/>
                <w:szCs w:val="20"/>
                <w:lang w:val="en-US"/>
              </w:rPr>
              <w:t>Capaian Kinerja</w:t>
            </w:r>
            <w:r>
              <w:rPr>
                <w:rFonts w:ascii="Tahoma" w:hAnsi="Tahoma" w:cs="Tahoma"/>
                <w:color w:val="000000"/>
                <w:sz w:val="20"/>
                <w:szCs w:val="20"/>
              </w:rPr>
              <w:t xml:space="preserve"> Badan Keuangan Daerah Tahun 20</w:t>
            </w:r>
            <w:r>
              <w:rPr>
                <w:rFonts w:hint="default" w:ascii="Tahoma" w:hAnsi="Tahoma" w:cs="Tahoma"/>
                <w:color w:val="000000"/>
                <w:sz w:val="20"/>
                <w:szCs w:val="20"/>
                <w:lang w:val="en-US"/>
              </w:rPr>
              <w:t>20</w:t>
            </w:r>
            <w:r>
              <w:rPr>
                <w:rFonts w:ascii="Tahoma" w:hAnsi="Tahoma" w:cs="Tahoma"/>
                <w:color w:val="000000"/>
                <w:sz w:val="20"/>
                <w:szCs w:val="20"/>
              </w:rPr>
              <w:t xml:space="preserve">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31</w:t>
            </w: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Lines="50" w:line="240" w:lineRule="auto"/>
              <w:rPr>
                <w:rFonts w:ascii="Tahoma" w:hAnsi="Tahoma" w:cs="Tahoma"/>
                <w:color w:val="000000"/>
                <w:sz w:val="20"/>
                <w:szCs w:val="20"/>
              </w:rPr>
            </w:pPr>
            <w:r>
              <w:rPr>
                <w:rFonts w:ascii="Tahoma" w:hAnsi="Tahoma" w:cs="Tahoma"/>
                <w:color w:val="000000"/>
                <w:sz w:val="20"/>
                <w:szCs w:val="20"/>
              </w:rPr>
              <w:t>3.</w:t>
            </w:r>
            <w:r>
              <w:rPr>
                <w:rFonts w:hint="default" w:ascii="Tahoma" w:hAnsi="Tahoma" w:cs="Tahoma"/>
                <w:color w:val="000000"/>
                <w:sz w:val="20"/>
                <w:szCs w:val="20"/>
                <w:lang w:val="en-US"/>
              </w:rPr>
              <w:t>4</w:t>
            </w:r>
            <w:r>
              <w:rPr>
                <w:rFonts w:ascii="Tahoma" w:hAnsi="Tahoma" w:cs="Tahoma"/>
                <w:color w:val="000000"/>
                <w:sz w:val="20"/>
                <w:szCs w:val="20"/>
              </w:rPr>
              <w:t xml:space="preserve">   Pengukuran Kinerja Meningkatnya Kualitas Pengelolaan Keuangan Daerah Tahun 20</w:t>
            </w:r>
            <w:r>
              <w:rPr>
                <w:rFonts w:hint="default" w:ascii="Tahoma" w:hAnsi="Tahoma" w:cs="Tahoma"/>
                <w:color w:val="000000"/>
                <w:sz w:val="20"/>
                <w:szCs w:val="20"/>
                <w:lang w:val="en-US"/>
              </w:rPr>
              <w:t>20</w:t>
            </w:r>
            <w:r>
              <w:rPr>
                <w:rFonts w:ascii="Tahoma" w:hAnsi="Tahoma" w:cs="Tahoma"/>
                <w:color w:val="000000"/>
                <w:sz w:val="20"/>
                <w:szCs w:val="20"/>
              </w:rPr>
              <w:t xml:space="preserve">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32</w:t>
            </w: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Lines="50" w:line="240" w:lineRule="auto"/>
              <w:rPr>
                <w:rFonts w:ascii="Tahoma" w:hAnsi="Tahoma" w:cs="Tahoma"/>
                <w:color w:val="000000"/>
                <w:sz w:val="20"/>
                <w:szCs w:val="20"/>
              </w:rPr>
            </w:pPr>
            <w:r>
              <w:rPr>
                <w:rFonts w:ascii="Tahoma" w:hAnsi="Tahoma" w:cs="Tahoma"/>
                <w:color w:val="000000"/>
                <w:sz w:val="20"/>
                <w:szCs w:val="20"/>
              </w:rPr>
              <w:t>3.</w:t>
            </w:r>
            <w:r>
              <w:rPr>
                <w:rFonts w:hint="default" w:ascii="Tahoma" w:hAnsi="Tahoma" w:cs="Tahoma"/>
                <w:color w:val="000000"/>
                <w:sz w:val="20"/>
                <w:szCs w:val="20"/>
                <w:lang w:val="en-US"/>
              </w:rPr>
              <w:t>5</w:t>
            </w:r>
            <w:r>
              <w:rPr>
                <w:rFonts w:ascii="Tahoma" w:hAnsi="Tahoma" w:cs="Tahoma"/>
                <w:color w:val="000000"/>
                <w:sz w:val="20"/>
                <w:szCs w:val="20"/>
              </w:rPr>
              <w:t xml:space="preserve">   Pengukuran Kinerja Meningkatnya Kualitas APBD Kabupaten/Kota Tahun 20</w:t>
            </w:r>
            <w:r>
              <w:rPr>
                <w:rFonts w:hint="default" w:ascii="Tahoma" w:hAnsi="Tahoma" w:cs="Tahoma"/>
                <w:color w:val="000000"/>
                <w:sz w:val="20"/>
                <w:szCs w:val="20"/>
                <w:lang w:val="en-US"/>
              </w:rPr>
              <w:t>20</w:t>
            </w:r>
            <w:r>
              <w:rPr>
                <w:rFonts w:ascii="Tahoma" w:hAnsi="Tahoma" w:cs="Tahoma"/>
                <w:color w:val="000000"/>
                <w:sz w:val="20"/>
                <w:szCs w:val="20"/>
              </w:rPr>
              <w:t xml:space="preserve">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40</w:t>
            </w: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Lines="50" w:line="240" w:lineRule="auto"/>
              <w:rPr>
                <w:rFonts w:ascii="Tahoma" w:hAnsi="Tahoma" w:cs="Tahoma"/>
                <w:color w:val="000000"/>
                <w:sz w:val="20"/>
                <w:szCs w:val="20"/>
              </w:rPr>
            </w:pPr>
            <w:r>
              <w:rPr>
                <w:rFonts w:ascii="Tahoma" w:hAnsi="Tahoma" w:cs="Tahoma"/>
                <w:color w:val="000000"/>
                <w:sz w:val="20"/>
                <w:szCs w:val="20"/>
              </w:rPr>
              <w:t>3.</w:t>
            </w:r>
            <w:r>
              <w:rPr>
                <w:rFonts w:hint="default" w:ascii="Tahoma" w:hAnsi="Tahoma" w:cs="Tahoma"/>
                <w:color w:val="000000"/>
                <w:sz w:val="20"/>
                <w:szCs w:val="20"/>
                <w:lang w:val="en-US"/>
              </w:rPr>
              <w:t>6</w:t>
            </w:r>
            <w:r>
              <w:rPr>
                <w:rFonts w:ascii="Tahoma" w:hAnsi="Tahoma" w:cs="Tahoma"/>
                <w:color w:val="000000"/>
                <w:sz w:val="20"/>
                <w:szCs w:val="20"/>
              </w:rPr>
              <w:t xml:space="preserve">   Pengukuran Kinerja Meningkatnya Pendapatan Asli Daerah Tahun 20</w:t>
            </w:r>
            <w:r>
              <w:rPr>
                <w:rFonts w:hint="default" w:ascii="Tahoma" w:hAnsi="Tahoma" w:cs="Tahoma"/>
                <w:color w:val="000000"/>
                <w:sz w:val="20"/>
                <w:szCs w:val="20"/>
                <w:lang w:val="en-US"/>
              </w:rPr>
              <w:t>20</w:t>
            </w:r>
            <w:r>
              <w:rPr>
                <w:rFonts w:ascii="Tahoma" w:hAnsi="Tahoma" w:cs="Tahoma"/>
                <w:color w:val="000000"/>
                <w:sz w:val="20"/>
                <w:szCs w:val="20"/>
              </w:rPr>
              <w:t xml:space="preserve">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42</w:t>
            </w: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Lines="50" w:line="240" w:lineRule="auto"/>
              <w:ind w:left="440" w:leftChars="0" w:hanging="440" w:hangingChars="220"/>
              <w:rPr>
                <w:rFonts w:hint="default" w:ascii="Tahoma" w:hAnsi="Tahoma" w:cs="Tahoma"/>
                <w:color w:val="000000"/>
                <w:sz w:val="20"/>
                <w:szCs w:val="20"/>
                <w:lang w:val="en-US"/>
              </w:rPr>
            </w:pPr>
            <w:r>
              <w:rPr>
                <w:rFonts w:hint="default" w:ascii="Tahoma" w:hAnsi="Tahoma" w:cs="Tahoma"/>
                <w:color w:val="000000"/>
                <w:sz w:val="20"/>
                <w:szCs w:val="20"/>
                <w:lang w:val="en-US"/>
              </w:rPr>
              <w:t>3.7   Target, Realisasi, dan Kontribusi Rincian PAD Provinsi Sumatera Barat Tahun Anggaran 2020</w:t>
            </w:r>
            <w:r>
              <w:rPr>
                <w:rFonts w:ascii="Tahoma" w:hAnsi="Tahoma" w:cs="Tahoma"/>
                <w:color w:val="000000"/>
                <w:sz w:val="20"/>
                <w:szCs w:val="20"/>
              </w:rPr>
              <w:t xml:space="preserve">  </w:t>
            </w:r>
            <w:r>
              <w:rPr>
                <w:rFonts w:ascii="Tahoma" w:hAnsi="Tahoma" w:cs="Tahoma"/>
                <w:color w:val="000000"/>
                <w:sz w:val="20"/>
                <w:szCs w:val="20"/>
                <w:lang w:val="id-ID"/>
              </w:rPr>
              <w:t>......................…</w:t>
            </w:r>
            <w:r>
              <w:rPr>
                <w:rFonts w:hint="default" w:ascii="Tahoma" w:hAnsi="Tahoma" w:cs="Tahoma"/>
                <w:color w:val="000000"/>
                <w:sz w:val="20"/>
                <w:szCs w:val="20"/>
                <w:lang w:val="en-US"/>
              </w:rPr>
              <w:t>…………………………………………………………………………………………….</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43</w:t>
            </w: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Lines="50" w:line="240" w:lineRule="auto"/>
              <w:rPr>
                <w:rFonts w:ascii="Tahoma" w:hAnsi="Tahoma" w:cs="Tahoma"/>
                <w:color w:val="000000"/>
                <w:sz w:val="20"/>
                <w:szCs w:val="20"/>
              </w:rPr>
            </w:pPr>
            <w:r>
              <w:rPr>
                <w:rFonts w:ascii="Tahoma" w:hAnsi="Tahoma" w:cs="Tahoma"/>
                <w:color w:val="000000"/>
                <w:sz w:val="20"/>
                <w:szCs w:val="20"/>
              </w:rPr>
              <w:t>3.</w:t>
            </w:r>
            <w:r>
              <w:rPr>
                <w:rFonts w:hint="default" w:ascii="Tahoma" w:hAnsi="Tahoma" w:cs="Tahoma"/>
                <w:color w:val="000000"/>
                <w:sz w:val="20"/>
                <w:szCs w:val="20"/>
                <w:lang w:val="en-US"/>
              </w:rPr>
              <w:t>8</w:t>
            </w:r>
            <w:r>
              <w:rPr>
                <w:rFonts w:ascii="Tahoma" w:hAnsi="Tahoma" w:cs="Tahoma"/>
                <w:color w:val="000000"/>
                <w:sz w:val="20"/>
                <w:szCs w:val="20"/>
              </w:rPr>
              <w:t xml:space="preserve">   Perbandingan Peningkatan PAD Tahun 20</w:t>
            </w:r>
            <w:r>
              <w:rPr>
                <w:rFonts w:hint="default" w:ascii="Tahoma" w:hAnsi="Tahoma" w:cs="Tahoma"/>
                <w:color w:val="000000"/>
                <w:sz w:val="20"/>
                <w:szCs w:val="20"/>
                <w:lang w:val="en-US"/>
              </w:rPr>
              <w:t>16</w:t>
            </w:r>
            <w:r>
              <w:rPr>
                <w:rFonts w:ascii="Tahoma" w:hAnsi="Tahoma" w:cs="Tahoma"/>
                <w:color w:val="000000"/>
                <w:sz w:val="20"/>
                <w:szCs w:val="20"/>
              </w:rPr>
              <w:t xml:space="preserve"> - 20</w:t>
            </w:r>
            <w:r>
              <w:rPr>
                <w:rFonts w:hint="default" w:ascii="Tahoma" w:hAnsi="Tahoma" w:cs="Tahoma"/>
                <w:color w:val="000000"/>
                <w:sz w:val="20"/>
                <w:szCs w:val="20"/>
                <w:lang w:val="en-US"/>
              </w:rPr>
              <w:t>20</w:t>
            </w:r>
            <w:r>
              <w:rPr>
                <w:rFonts w:ascii="Tahoma" w:hAnsi="Tahoma" w:cs="Tahoma"/>
                <w:color w:val="000000"/>
                <w:sz w:val="20"/>
                <w:szCs w:val="20"/>
              </w:rPr>
              <w:t xml:space="preserve">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43</w:t>
            </w: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Lines="50" w:line="240" w:lineRule="auto"/>
              <w:rPr>
                <w:rFonts w:ascii="Tahoma" w:hAnsi="Tahoma" w:cs="Tahoma"/>
                <w:color w:val="000000"/>
                <w:sz w:val="20"/>
                <w:szCs w:val="20"/>
              </w:rPr>
            </w:pPr>
            <w:r>
              <w:rPr>
                <w:rFonts w:ascii="Tahoma" w:hAnsi="Tahoma" w:cs="Tahoma"/>
                <w:color w:val="000000"/>
                <w:sz w:val="20"/>
                <w:szCs w:val="20"/>
              </w:rPr>
              <w:t>3.</w:t>
            </w:r>
            <w:r>
              <w:rPr>
                <w:rFonts w:hint="default" w:ascii="Tahoma" w:hAnsi="Tahoma" w:cs="Tahoma"/>
                <w:color w:val="000000"/>
                <w:sz w:val="20"/>
                <w:szCs w:val="20"/>
                <w:lang w:val="en-US"/>
              </w:rPr>
              <w:t>9</w:t>
            </w:r>
            <w:r>
              <w:rPr>
                <w:rFonts w:ascii="Tahoma" w:hAnsi="Tahoma" w:cs="Tahoma"/>
                <w:color w:val="000000"/>
                <w:sz w:val="20"/>
                <w:szCs w:val="20"/>
              </w:rPr>
              <w:t xml:space="preserve">   Perkembangan Realisasi Pajak Daerah Tahun 20</w:t>
            </w:r>
            <w:r>
              <w:rPr>
                <w:rFonts w:hint="default" w:ascii="Tahoma" w:hAnsi="Tahoma" w:cs="Tahoma"/>
                <w:color w:val="000000"/>
                <w:sz w:val="20"/>
                <w:szCs w:val="20"/>
                <w:lang w:val="en-US"/>
              </w:rPr>
              <w:t>16</w:t>
            </w:r>
            <w:r>
              <w:rPr>
                <w:rFonts w:ascii="Tahoma" w:hAnsi="Tahoma" w:cs="Tahoma"/>
                <w:color w:val="000000"/>
                <w:sz w:val="20"/>
                <w:szCs w:val="20"/>
              </w:rPr>
              <w:t xml:space="preserve"> - 20</w:t>
            </w:r>
            <w:r>
              <w:rPr>
                <w:rFonts w:hint="default" w:ascii="Tahoma" w:hAnsi="Tahoma" w:cs="Tahoma"/>
                <w:color w:val="000000"/>
                <w:sz w:val="20"/>
                <w:szCs w:val="20"/>
                <w:lang w:val="en-US"/>
              </w:rPr>
              <w:t>20</w:t>
            </w:r>
            <w:r>
              <w:rPr>
                <w:rFonts w:ascii="Tahoma" w:hAnsi="Tahoma" w:cs="Tahoma"/>
                <w:color w:val="000000"/>
                <w:sz w:val="20"/>
                <w:szCs w:val="20"/>
              </w:rPr>
              <w:t xml:space="preserve">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ascii="Tahoma" w:hAnsi="Tahoma" w:cs="Tahoma"/>
                <w:color w:val="000000"/>
                <w:sz w:val="20"/>
                <w:szCs w:val="20"/>
              </w:rPr>
            </w:pPr>
            <w:r>
              <w:rPr>
                <w:rFonts w:ascii="Tahoma" w:hAnsi="Tahoma" w:cs="Tahoma"/>
                <w:color w:val="000000"/>
                <w:sz w:val="20"/>
                <w:szCs w:val="20"/>
              </w:rPr>
              <w:t>46</w:t>
            </w: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Lines="50" w:line="240" w:lineRule="auto"/>
              <w:rPr>
                <w:rFonts w:ascii="Tahoma" w:hAnsi="Tahoma" w:cs="Tahoma"/>
                <w:color w:val="000000"/>
                <w:sz w:val="20"/>
                <w:szCs w:val="20"/>
              </w:rPr>
            </w:pPr>
            <w:r>
              <w:rPr>
                <w:rFonts w:ascii="Tahoma" w:hAnsi="Tahoma" w:cs="Tahoma"/>
                <w:color w:val="000000"/>
                <w:sz w:val="20"/>
                <w:szCs w:val="20"/>
              </w:rPr>
              <w:t>3.</w:t>
            </w:r>
            <w:r>
              <w:rPr>
                <w:rFonts w:hint="default" w:ascii="Tahoma" w:hAnsi="Tahoma" w:cs="Tahoma"/>
                <w:color w:val="000000"/>
                <w:sz w:val="20"/>
                <w:szCs w:val="20"/>
                <w:lang w:val="en-US"/>
              </w:rPr>
              <w:t>10</w:t>
            </w:r>
            <w:r>
              <w:rPr>
                <w:rFonts w:ascii="Tahoma" w:hAnsi="Tahoma" w:cs="Tahoma"/>
                <w:color w:val="000000"/>
                <w:sz w:val="20"/>
                <w:szCs w:val="20"/>
              </w:rPr>
              <w:t xml:space="preserve"> Pengukuran Kinerja Meningkatnya Kualitas Pelayanan Publik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49</w:t>
            </w: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Lines="50" w:line="240" w:lineRule="auto"/>
              <w:rPr>
                <w:rFonts w:ascii="Tahoma" w:hAnsi="Tahoma" w:eastAsia="Calibri" w:cs="Tahoma"/>
                <w:color w:val="000000"/>
                <w:sz w:val="20"/>
                <w:szCs w:val="20"/>
                <w:lang w:val="en-US" w:eastAsia="en-US" w:bidi="ar-SA"/>
              </w:rPr>
            </w:pPr>
            <w:r>
              <w:rPr>
                <w:rFonts w:ascii="Tahoma" w:hAnsi="Tahoma" w:cs="Tahoma"/>
                <w:color w:val="000000"/>
                <w:sz w:val="20"/>
                <w:szCs w:val="20"/>
              </w:rPr>
              <w:t>3.1</w:t>
            </w:r>
            <w:r>
              <w:rPr>
                <w:rFonts w:hint="default" w:ascii="Tahoma" w:hAnsi="Tahoma" w:cs="Tahoma"/>
                <w:color w:val="000000"/>
                <w:sz w:val="20"/>
                <w:szCs w:val="20"/>
                <w:lang w:val="en-US"/>
              </w:rPr>
              <w:t>1</w:t>
            </w:r>
            <w:r>
              <w:rPr>
                <w:rFonts w:ascii="Tahoma" w:hAnsi="Tahoma" w:cs="Tahoma"/>
                <w:color w:val="000000"/>
                <w:sz w:val="20"/>
                <w:szCs w:val="20"/>
              </w:rPr>
              <w:t xml:space="preserve"> Nilai Evaluasi Akuntabilitas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ascii="Tahoma" w:hAnsi="Tahoma" w:eastAsia="Calibri" w:cs="Tahoma"/>
                <w:color w:val="000000"/>
                <w:sz w:val="20"/>
                <w:szCs w:val="20"/>
                <w:lang w:val="en-US" w:eastAsia="en-US" w:bidi="ar-SA"/>
              </w:rPr>
            </w:pPr>
            <w:r>
              <w:rPr>
                <w:rFonts w:ascii="Tahoma" w:hAnsi="Tahoma" w:cs="Tahoma"/>
                <w:color w:val="000000"/>
                <w:sz w:val="20"/>
                <w:szCs w:val="20"/>
              </w:rPr>
              <w:t>54</w:t>
            </w: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Lines="50" w:line="240" w:lineRule="auto"/>
              <w:rPr>
                <w:rFonts w:ascii="Tahoma" w:hAnsi="Tahoma" w:eastAsia="Calibri" w:cs="Tahoma"/>
                <w:color w:val="000000"/>
                <w:sz w:val="20"/>
                <w:szCs w:val="20"/>
                <w:lang w:val="en-US" w:eastAsia="en-US" w:bidi="ar-SA"/>
              </w:rPr>
            </w:pPr>
            <w:r>
              <w:rPr>
                <w:rFonts w:ascii="Tahoma" w:hAnsi="Tahoma" w:cs="Tahoma"/>
                <w:color w:val="000000"/>
                <w:sz w:val="20"/>
                <w:szCs w:val="20"/>
              </w:rPr>
              <w:t>3.</w:t>
            </w:r>
            <w:r>
              <w:rPr>
                <w:rFonts w:hint="default" w:ascii="Tahoma" w:hAnsi="Tahoma" w:cs="Tahoma"/>
                <w:color w:val="000000"/>
                <w:sz w:val="20"/>
                <w:szCs w:val="20"/>
                <w:lang w:val="en-US"/>
              </w:rPr>
              <w:t xml:space="preserve">12 </w:t>
            </w:r>
            <w:r>
              <w:rPr>
                <w:rFonts w:ascii="Tahoma" w:hAnsi="Tahoma" w:cs="Tahoma"/>
                <w:color w:val="000000"/>
                <w:sz w:val="20"/>
                <w:szCs w:val="20"/>
              </w:rPr>
              <w:t>Realisasi Belanja Badan Keuangan Daerah Provinsi Sumatera Barat Tahun 20</w:t>
            </w:r>
            <w:r>
              <w:rPr>
                <w:rFonts w:hint="default" w:ascii="Tahoma" w:hAnsi="Tahoma" w:cs="Tahoma"/>
                <w:color w:val="000000"/>
                <w:sz w:val="20"/>
                <w:szCs w:val="20"/>
                <w:lang w:val="en-US"/>
              </w:rPr>
              <w:t>20</w:t>
            </w:r>
            <w:r>
              <w:rPr>
                <w:rFonts w:ascii="Tahoma" w:hAnsi="Tahoma" w:cs="Tahoma"/>
                <w:color w:val="000000"/>
                <w:sz w:val="20"/>
                <w:szCs w:val="20"/>
              </w:rPr>
              <w:t xml:space="preserve">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eastAsia="Calibri" w:cs="Tahoma"/>
                <w:color w:val="000000"/>
                <w:sz w:val="20"/>
                <w:szCs w:val="20"/>
                <w:lang w:val="en-US" w:eastAsia="en-US" w:bidi="ar-SA"/>
              </w:rPr>
            </w:pPr>
            <w:r>
              <w:rPr>
                <w:rFonts w:hint="default" w:ascii="Tahoma" w:hAnsi="Tahoma" w:cs="Tahoma"/>
                <w:color w:val="000000"/>
                <w:sz w:val="20"/>
                <w:szCs w:val="20"/>
                <w:lang w:val="en-US"/>
              </w:rPr>
              <w:t>51</w:t>
            </w: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Lines="50" w:line="240" w:lineRule="auto"/>
              <w:rPr>
                <w:rFonts w:ascii="Tahoma" w:hAnsi="Tahoma" w:eastAsia="Calibri" w:cs="Tahoma"/>
                <w:bCs/>
                <w:color w:val="000000"/>
                <w:sz w:val="20"/>
                <w:szCs w:val="20"/>
                <w:lang w:val="en-US" w:eastAsia="en-US" w:bidi="ar-SA"/>
              </w:rPr>
            </w:pPr>
            <w:r>
              <w:rPr>
                <w:rFonts w:ascii="Tahoma" w:hAnsi="Tahoma" w:cs="Tahoma"/>
                <w:bCs/>
                <w:color w:val="000000"/>
                <w:sz w:val="20"/>
                <w:szCs w:val="20"/>
              </w:rPr>
              <w:t>3.</w:t>
            </w:r>
            <w:r>
              <w:rPr>
                <w:rFonts w:hint="default" w:ascii="Tahoma" w:hAnsi="Tahoma" w:cs="Tahoma"/>
                <w:bCs/>
                <w:color w:val="000000"/>
                <w:sz w:val="20"/>
                <w:szCs w:val="20"/>
                <w:lang w:val="en-US"/>
              </w:rPr>
              <w:t xml:space="preserve">13 </w:t>
            </w:r>
            <w:r>
              <w:rPr>
                <w:rFonts w:ascii="Tahoma" w:hAnsi="Tahoma" w:cs="Tahoma"/>
                <w:bCs/>
                <w:color w:val="000000"/>
                <w:sz w:val="20"/>
                <w:szCs w:val="20"/>
              </w:rPr>
              <w:t>Realisasi Anggaran Belanja Langsung Tahun Anggaran 20</w:t>
            </w:r>
            <w:r>
              <w:rPr>
                <w:rFonts w:hint="default" w:ascii="Tahoma" w:hAnsi="Tahoma" w:cs="Tahoma"/>
                <w:bCs/>
                <w:color w:val="000000"/>
                <w:sz w:val="20"/>
                <w:szCs w:val="20"/>
                <w:lang w:val="en-US"/>
              </w:rPr>
              <w:t>20</w:t>
            </w:r>
            <w:r>
              <w:rPr>
                <w:rFonts w:ascii="Tahoma" w:hAnsi="Tahoma" w:cs="Tahoma"/>
                <w:bCs/>
                <w:color w:val="000000"/>
                <w:sz w:val="20"/>
                <w:szCs w:val="20"/>
              </w:rPr>
              <w:t xml:space="preserve">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eastAsia="Calibri" w:cs="Tahoma"/>
                <w:color w:val="000000"/>
                <w:sz w:val="20"/>
                <w:szCs w:val="20"/>
                <w:lang w:val="en-US" w:eastAsia="en-US" w:bidi="ar-SA"/>
              </w:rPr>
            </w:pPr>
            <w:r>
              <w:rPr>
                <w:rFonts w:hint="default" w:ascii="Tahoma" w:hAnsi="Tahoma" w:cs="Tahoma"/>
                <w:color w:val="000000"/>
                <w:sz w:val="20"/>
                <w:szCs w:val="20"/>
                <w:lang w:val="en-US"/>
              </w:rPr>
              <w:t>52</w:t>
            </w:r>
          </w:p>
        </w:tc>
      </w:tr>
      <w:tr>
        <w:tblPrEx>
          <w:tblCellMar>
            <w:top w:w="0" w:type="dxa"/>
            <w:left w:w="108" w:type="dxa"/>
            <w:bottom w:w="0" w:type="dxa"/>
            <w:right w:w="108" w:type="dxa"/>
          </w:tblCellMar>
        </w:tblPrEx>
        <w:trPr>
          <w:trHeight w:val="64" w:hRule="atLeast"/>
        </w:trPr>
        <w:tc>
          <w:tcPr>
            <w:tcW w:w="8814" w:type="dxa"/>
            <w:noWrap/>
            <w:vAlign w:val="center"/>
          </w:tcPr>
          <w:p>
            <w:pPr>
              <w:autoSpaceDE w:val="0"/>
              <w:autoSpaceDN w:val="0"/>
              <w:adjustRightInd w:val="0"/>
              <w:spacing w:before="60" w:afterLines="50" w:line="240" w:lineRule="auto"/>
              <w:rPr>
                <w:rFonts w:ascii="Tahoma" w:hAnsi="Tahoma" w:eastAsia="Calibri" w:cs="Tahoma"/>
                <w:bCs/>
                <w:color w:val="000000"/>
                <w:sz w:val="20"/>
                <w:szCs w:val="20"/>
                <w:lang w:val="en-US" w:eastAsia="en-US" w:bidi="ar-SA"/>
              </w:rPr>
            </w:pPr>
            <w:r>
              <w:rPr>
                <w:rFonts w:ascii="Tahoma" w:hAnsi="Tahoma" w:cs="Tahoma"/>
                <w:bCs/>
                <w:color w:val="000000"/>
                <w:sz w:val="20"/>
                <w:szCs w:val="20"/>
              </w:rPr>
              <w:t>3.</w:t>
            </w:r>
            <w:r>
              <w:rPr>
                <w:rFonts w:hint="default" w:ascii="Tahoma" w:hAnsi="Tahoma" w:cs="Tahoma"/>
                <w:bCs/>
                <w:color w:val="000000"/>
                <w:sz w:val="20"/>
                <w:szCs w:val="20"/>
                <w:lang w:val="en-US"/>
              </w:rPr>
              <w:t>14 Capaian Kinerja Program/Kegiatan Sesuai Dokumen Anggaran</w:t>
            </w:r>
            <w:r>
              <w:rPr>
                <w:rFonts w:ascii="Tahoma" w:hAnsi="Tahoma" w:cs="Tahoma"/>
                <w:bCs/>
                <w:color w:val="000000"/>
                <w:sz w:val="20"/>
                <w:szCs w:val="20"/>
              </w:rPr>
              <w:t xml:space="preserve">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eastAsia="Calibri" w:cs="Tahoma"/>
                <w:color w:val="000000"/>
                <w:sz w:val="20"/>
                <w:szCs w:val="20"/>
                <w:lang w:val="en-US" w:eastAsia="en-US" w:bidi="ar-SA"/>
              </w:rPr>
            </w:pPr>
            <w:r>
              <w:rPr>
                <w:rFonts w:hint="default" w:ascii="Tahoma" w:hAnsi="Tahoma" w:cs="Tahoma"/>
                <w:color w:val="000000"/>
                <w:sz w:val="20"/>
                <w:szCs w:val="20"/>
                <w:lang w:val="en-US"/>
              </w:rPr>
              <w:t>53</w:t>
            </w:r>
          </w:p>
        </w:tc>
      </w:tr>
    </w:tbl>
    <w:p>
      <w:pPr>
        <w:autoSpaceDE w:val="0"/>
        <w:autoSpaceDN w:val="0"/>
        <w:adjustRightInd w:val="0"/>
        <w:spacing w:after="0" w:line="240" w:lineRule="auto"/>
        <w:rPr>
          <w:rFonts w:cs="MyriadPro-BoldSemiCnIt"/>
          <w:b/>
          <w:bCs/>
          <w:i/>
          <w:iCs/>
          <w:color w:val="000000"/>
          <w:sz w:val="80"/>
          <w:szCs w:val="80"/>
        </w:rPr>
      </w:pPr>
    </w:p>
    <w:p>
      <w:pPr>
        <w:autoSpaceDE w:val="0"/>
        <w:autoSpaceDN w:val="0"/>
        <w:adjustRightInd w:val="0"/>
        <w:spacing w:afterLines="100" w:line="240" w:lineRule="auto"/>
        <w:rPr>
          <w:rFonts w:cs="MyriadPro-BoldSemiCnIt"/>
          <w:b/>
          <w:bCs/>
          <w:i/>
          <w:iCs/>
          <w:color w:val="000000"/>
          <w:sz w:val="26"/>
          <w:szCs w:val="26"/>
        </w:rPr>
      </w:pPr>
      <w:r>
        <w:rPr>
          <w:rFonts w:cs="MyriadPro-BoldSemiCnIt"/>
          <w:b/>
          <w:bCs/>
          <w:i/>
          <w:iCs/>
          <w:color w:val="000000"/>
          <w:sz w:val="80"/>
          <w:szCs w:val="80"/>
        </w:rPr>
        <w:t>Daftar Gambar</w:t>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p>
    <w:p>
      <w:pPr>
        <w:autoSpaceDE w:val="0"/>
        <w:autoSpaceDN w:val="0"/>
        <w:adjustRightInd w:val="0"/>
        <w:spacing w:after="0" w:line="240" w:lineRule="auto"/>
        <w:jc w:val="center"/>
        <w:rPr>
          <w:rFonts w:cs="MyriadPro-Light"/>
          <w:color w:val="000000"/>
        </w:rPr>
      </w:pP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Hal</w:t>
      </w:r>
    </w:p>
    <w:tbl>
      <w:tblPr>
        <w:tblStyle w:val="7"/>
        <w:tblW w:w="0" w:type="auto"/>
        <w:tblInd w:w="0" w:type="dxa"/>
        <w:tblLayout w:type="autofit"/>
        <w:tblCellMar>
          <w:top w:w="0" w:type="dxa"/>
          <w:left w:w="108" w:type="dxa"/>
          <w:bottom w:w="0" w:type="dxa"/>
          <w:right w:w="108" w:type="dxa"/>
        </w:tblCellMar>
      </w:tblPr>
      <w:tblGrid>
        <w:gridCol w:w="8814"/>
        <w:gridCol w:w="451"/>
      </w:tblGrid>
      <w:tr>
        <w:tblPrEx>
          <w:tblCellMar>
            <w:top w:w="0" w:type="dxa"/>
            <w:left w:w="108" w:type="dxa"/>
            <w:bottom w:w="0" w:type="dxa"/>
            <w:right w:w="108" w:type="dxa"/>
          </w:tblCellMar>
        </w:tblPrEx>
        <w:tc>
          <w:tcPr>
            <w:tcW w:w="8814" w:type="dxa"/>
            <w:noWrap/>
            <w:vAlign w:val="center"/>
          </w:tcPr>
          <w:p>
            <w:pPr>
              <w:autoSpaceDE w:val="0"/>
              <w:autoSpaceDN w:val="0"/>
              <w:adjustRightInd w:val="0"/>
              <w:spacing w:before="60" w:afterLines="50" w:line="240" w:lineRule="auto"/>
              <w:ind w:left="440" w:hanging="440" w:hangingChars="220"/>
              <w:rPr>
                <w:rFonts w:ascii="Tahoma" w:hAnsi="Tahoma" w:cs="Tahoma"/>
                <w:color w:val="000000"/>
                <w:sz w:val="20"/>
                <w:szCs w:val="20"/>
              </w:rPr>
            </w:pPr>
            <w:r>
              <w:rPr>
                <w:rFonts w:ascii="Tahoma" w:hAnsi="Tahoma" w:cs="Tahoma"/>
                <w:color w:val="000000"/>
                <w:sz w:val="20"/>
                <w:szCs w:val="20"/>
              </w:rPr>
              <w:t xml:space="preserve">1.1   Struktur Organisasi Badan Keuangan Daerah Provinsi Sumatera Barat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ascii="Tahoma" w:hAnsi="Tahoma" w:cs="Tahoma"/>
                <w:color w:val="000000"/>
                <w:sz w:val="20"/>
                <w:szCs w:val="20"/>
                <w:lang w:val="id-ID"/>
              </w:rPr>
            </w:pPr>
            <w:r>
              <w:rPr>
                <w:rFonts w:ascii="Tahoma" w:hAnsi="Tahoma" w:cs="Tahoma"/>
                <w:color w:val="000000"/>
                <w:sz w:val="20"/>
                <w:szCs w:val="20"/>
              </w:rPr>
              <w:t>4</w:t>
            </w:r>
          </w:p>
        </w:tc>
      </w:tr>
      <w:tr>
        <w:tblPrEx>
          <w:tblCellMar>
            <w:top w:w="0" w:type="dxa"/>
            <w:left w:w="108" w:type="dxa"/>
            <w:bottom w:w="0" w:type="dxa"/>
            <w:right w:w="108" w:type="dxa"/>
          </w:tblCellMar>
        </w:tblPrEx>
        <w:tc>
          <w:tcPr>
            <w:tcW w:w="8814" w:type="dxa"/>
            <w:noWrap/>
            <w:vAlign w:val="center"/>
          </w:tcPr>
          <w:p>
            <w:pPr>
              <w:autoSpaceDE w:val="0"/>
              <w:autoSpaceDN w:val="0"/>
              <w:adjustRightInd w:val="0"/>
              <w:spacing w:before="60" w:afterLines="50" w:line="240" w:lineRule="auto"/>
              <w:ind w:left="440" w:leftChars="0" w:hanging="440" w:hangingChars="220"/>
              <w:rPr>
                <w:rFonts w:ascii="Tahoma" w:hAnsi="Tahoma" w:eastAsia="Calibri" w:cs="Tahoma"/>
                <w:color w:val="000000"/>
                <w:sz w:val="20"/>
                <w:szCs w:val="20"/>
                <w:lang w:val="id-ID" w:eastAsia="en-US" w:bidi="ar-SA"/>
              </w:rPr>
            </w:pPr>
            <w:r>
              <w:rPr>
                <w:rFonts w:ascii="Tahoma" w:hAnsi="Tahoma" w:cs="Tahoma"/>
                <w:color w:val="000000"/>
                <w:sz w:val="20"/>
                <w:szCs w:val="20"/>
              </w:rPr>
              <w:t xml:space="preserve">2.1   SAKIP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eastAsia="Calibri" w:cs="Tahoma"/>
                <w:color w:val="000000"/>
                <w:sz w:val="20"/>
                <w:szCs w:val="20"/>
                <w:lang w:val="en-US" w:eastAsia="en-US" w:bidi="ar-SA"/>
              </w:rPr>
            </w:pPr>
            <w:r>
              <w:rPr>
                <w:rFonts w:hint="default" w:ascii="Tahoma" w:hAnsi="Tahoma" w:cs="Tahoma"/>
                <w:color w:val="000000"/>
                <w:sz w:val="20"/>
                <w:szCs w:val="20"/>
                <w:lang w:val="en-US"/>
              </w:rPr>
              <w:t>11</w:t>
            </w:r>
          </w:p>
        </w:tc>
      </w:tr>
      <w:tr>
        <w:tblPrEx>
          <w:tblCellMar>
            <w:top w:w="0" w:type="dxa"/>
            <w:left w:w="108" w:type="dxa"/>
            <w:bottom w:w="0" w:type="dxa"/>
            <w:right w:w="108" w:type="dxa"/>
          </w:tblCellMar>
        </w:tblPrEx>
        <w:tc>
          <w:tcPr>
            <w:tcW w:w="8814" w:type="dxa"/>
            <w:noWrap/>
            <w:vAlign w:val="center"/>
          </w:tcPr>
          <w:p>
            <w:pPr>
              <w:autoSpaceDE w:val="0"/>
              <w:autoSpaceDN w:val="0"/>
              <w:adjustRightInd w:val="0"/>
              <w:spacing w:before="60" w:afterLines="50" w:line="240" w:lineRule="auto"/>
              <w:ind w:left="440" w:leftChars="0" w:hanging="440" w:hangingChars="220"/>
              <w:rPr>
                <w:rFonts w:ascii="Tahoma" w:hAnsi="Tahoma" w:eastAsia="Calibri" w:cs="Tahoma"/>
                <w:color w:val="000000"/>
                <w:sz w:val="20"/>
                <w:szCs w:val="20"/>
                <w:lang w:val="en-US" w:eastAsia="en-US" w:bidi="ar-SA"/>
              </w:rPr>
            </w:pPr>
            <w:r>
              <w:rPr>
                <w:rFonts w:ascii="Tahoma" w:hAnsi="Tahoma" w:cs="Tahoma"/>
                <w:color w:val="000000"/>
                <w:sz w:val="20"/>
                <w:szCs w:val="20"/>
              </w:rPr>
              <w:t xml:space="preserve">3.1   Penghargaan Pemerintah RI Kepada Pemerintah Provinsi Sumatera Barat  atas Capaian Opini  WTP Lima Tahun Berturut-turut (2013 - 2017)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eastAsia="Calibri" w:cs="Tahoma"/>
                <w:color w:val="000000"/>
                <w:sz w:val="20"/>
                <w:szCs w:val="20"/>
                <w:lang w:val="en-US" w:eastAsia="en-US" w:bidi="ar-SA"/>
              </w:rPr>
            </w:pPr>
            <w:r>
              <w:rPr>
                <w:rFonts w:hint="default" w:ascii="Tahoma" w:hAnsi="Tahoma" w:cs="Tahoma"/>
                <w:color w:val="000000"/>
                <w:sz w:val="20"/>
                <w:szCs w:val="20"/>
                <w:lang w:val="en-US"/>
              </w:rPr>
              <w:t>33</w:t>
            </w:r>
          </w:p>
        </w:tc>
      </w:tr>
      <w:tr>
        <w:tblPrEx>
          <w:tblCellMar>
            <w:top w:w="0" w:type="dxa"/>
            <w:left w:w="108" w:type="dxa"/>
            <w:bottom w:w="0" w:type="dxa"/>
            <w:right w:w="108" w:type="dxa"/>
          </w:tblCellMar>
        </w:tblPrEx>
        <w:tc>
          <w:tcPr>
            <w:tcW w:w="8814" w:type="dxa"/>
            <w:noWrap/>
            <w:vAlign w:val="center"/>
          </w:tcPr>
          <w:p>
            <w:pPr>
              <w:autoSpaceDE w:val="0"/>
              <w:autoSpaceDN w:val="0"/>
              <w:adjustRightInd w:val="0"/>
              <w:spacing w:before="60" w:afterLines="50" w:line="240" w:lineRule="auto"/>
              <w:ind w:left="440" w:leftChars="0" w:hanging="440" w:hangingChars="220"/>
              <w:rPr>
                <w:rFonts w:ascii="Tahoma" w:hAnsi="Tahoma" w:eastAsia="Calibri" w:cs="Tahoma"/>
                <w:color w:val="000000"/>
                <w:sz w:val="20"/>
                <w:szCs w:val="20"/>
                <w:lang w:val="id-ID" w:eastAsia="en-US" w:bidi="ar-SA"/>
              </w:rPr>
            </w:pPr>
            <w:r>
              <w:rPr>
                <w:rFonts w:ascii="Tahoma" w:hAnsi="Tahoma" w:cs="Tahoma"/>
                <w:color w:val="000000"/>
                <w:sz w:val="20"/>
                <w:szCs w:val="20"/>
              </w:rPr>
              <w:t xml:space="preserve">3.2   Sreenshoot Whatsapps Group Helpdesk SIPKD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eastAsia="Calibri" w:cs="Tahoma"/>
                <w:color w:val="000000"/>
                <w:sz w:val="20"/>
                <w:szCs w:val="20"/>
                <w:lang w:val="en-US" w:eastAsia="en-US" w:bidi="ar-SA"/>
              </w:rPr>
            </w:pPr>
            <w:r>
              <w:rPr>
                <w:rFonts w:hint="default" w:ascii="Tahoma" w:hAnsi="Tahoma" w:cs="Tahoma"/>
                <w:color w:val="000000"/>
                <w:sz w:val="20"/>
                <w:szCs w:val="20"/>
                <w:lang w:val="en-US"/>
              </w:rPr>
              <w:t>38</w:t>
            </w:r>
          </w:p>
        </w:tc>
      </w:tr>
      <w:tr>
        <w:tblPrEx>
          <w:tblCellMar>
            <w:top w:w="0" w:type="dxa"/>
            <w:left w:w="108" w:type="dxa"/>
            <w:bottom w:w="0" w:type="dxa"/>
            <w:right w:w="108" w:type="dxa"/>
          </w:tblCellMar>
        </w:tblPrEx>
        <w:tc>
          <w:tcPr>
            <w:tcW w:w="8814" w:type="dxa"/>
            <w:noWrap/>
            <w:vAlign w:val="center"/>
          </w:tcPr>
          <w:p>
            <w:pPr>
              <w:autoSpaceDE w:val="0"/>
              <w:autoSpaceDN w:val="0"/>
              <w:adjustRightInd w:val="0"/>
              <w:spacing w:before="60" w:afterLines="50" w:line="240" w:lineRule="auto"/>
              <w:ind w:left="440" w:hanging="440" w:hangingChars="220"/>
              <w:rPr>
                <w:rFonts w:ascii="Tahoma" w:hAnsi="Tahoma" w:cs="Tahoma"/>
                <w:color w:val="000000"/>
                <w:sz w:val="20"/>
                <w:szCs w:val="20"/>
              </w:rPr>
            </w:pPr>
            <w:r>
              <w:rPr>
                <w:rFonts w:hint="default" w:ascii="Tahoma" w:hAnsi="Tahoma" w:cs="Tahoma"/>
                <w:color w:val="000000"/>
                <w:sz w:val="20"/>
                <w:szCs w:val="20"/>
                <w:lang w:val="en-US"/>
              </w:rPr>
              <w:t>3.3</w:t>
            </w:r>
            <w:r>
              <w:rPr>
                <w:rFonts w:ascii="Tahoma" w:hAnsi="Tahoma" w:cs="Tahoma"/>
                <w:color w:val="000000"/>
                <w:sz w:val="20"/>
                <w:szCs w:val="20"/>
              </w:rPr>
              <w:t xml:space="preserve">   Website Badan Keuangan Daerah Provinsi Sumatera Barat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66</w:t>
            </w:r>
          </w:p>
        </w:tc>
      </w:tr>
      <w:tr>
        <w:tblPrEx>
          <w:tblCellMar>
            <w:top w:w="0" w:type="dxa"/>
            <w:left w:w="108" w:type="dxa"/>
            <w:bottom w:w="0" w:type="dxa"/>
            <w:right w:w="108" w:type="dxa"/>
          </w:tblCellMar>
        </w:tblPrEx>
        <w:tc>
          <w:tcPr>
            <w:tcW w:w="8814" w:type="dxa"/>
            <w:noWrap/>
            <w:vAlign w:val="center"/>
          </w:tcPr>
          <w:p>
            <w:pPr>
              <w:autoSpaceDE w:val="0"/>
              <w:autoSpaceDN w:val="0"/>
              <w:adjustRightInd w:val="0"/>
              <w:spacing w:before="60" w:afterLines="50" w:line="240" w:lineRule="auto"/>
              <w:ind w:left="440" w:hanging="440" w:hangingChars="220"/>
              <w:rPr>
                <w:rFonts w:ascii="Tahoma" w:hAnsi="Tahoma" w:cs="Tahoma"/>
                <w:color w:val="000000"/>
                <w:sz w:val="20"/>
                <w:szCs w:val="20"/>
              </w:rPr>
            </w:pPr>
            <w:r>
              <w:rPr>
                <w:rFonts w:hint="default" w:ascii="Tahoma" w:hAnsi="Tahoma" w:cs="Tahoma"/>
                <w:color w:val="000000"/>
                <w:sz w:val="20"/>
                <w:szCs w:val="20"/>
                <w:lang w:val="en-US"/>
              </w:rPr>
              <w:t>3.4</w:t>
            </w:r>
            <w:r>
              <w:rPr>
                <w:rFonts w:ascii="Tahoma" w:hAnsi="Tahoma" w:cs="Tahoma"/>
                <w:color w:val="000000"/>
                <w:sz w:val="20"/>
                <w:szCs w:val="20"/>
              </w:rPr>
              <w:t xml:space="preserve">   Aplikasi SIPKD Badan Keuangan Daerah Provinsi Sumatera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67</w:t>
            </w:r>
          </w:p>
        </w:tc>
      </w:tr>
      <w:tr>
        <w:tblPrEx>
          <w:tblCellMar>
            <w:top w:w="0" w:type="dxa"/>
            <w:left w:w="108" w:type="dxa"/>
            <w:bottom w:w="0" w:type="dxa"/>
            <w:right w:w="108" w:type="dxa"/>
          </w:tblCellMar>
        </w:tblPrEx>
        <w:tc>
          <w:tcPr>
            <w:tcW w:w="8814" w:type="dxa"/>
            <w:noWrap/>
            <w:vAlign w:val="center"/>
          </w:tcPr>
          <w:p>
            <w:pPr>
              <w:autoSpaceDE w:val="0"/>
              <w:autoSpaceDN w:val="0"/>
              <w:adjustRightInd w:val="0"/>
              <w:spacing w:before="60" w:afterLines="50" w:line="240" w:lineRule="auto"/>
              <w:ind w:left="440" w:hanging="440" w:hangingChars="220"/>
              <w:rPr>
                <w:rFonts w:ascii="Tahoma" w:hAnsi="Tahoma" w:cs="Tahoma"/>
                <w:color w:val="000000"/>
                <w:sz w:val="20"/>
                <w:szCs w:val="20"/>
              </w:rPr>
            </w:pPr>
            <w:r>
              <w:rPr>
                <w:rFonts w:hint="default" w:ascii="Tahoma" w:hAnsi="Tahoma" w:cs="Tahoma"/>
                <w:color w:val="000000"/>
                <w:sz w:val="20"/>
                <w:szCs w:val="20"/>
                <w:lang w:val="en-US"/>
              </w:rPr>
              <w:t>3.5</w:t>
            </w:r>
            <w:r>
              <w:rPr>
                <w:rFonts w:ascii="Tahoma" w:hAnsi="Tahoma" w:cs="Tahoma"/>
                <w:color w:val="000000"/>
                <w:sz w:val="20"/>
                <w:szCs w:val="20"/>
              </w:rPr>
              <w:t xml:space="preserve">   Sistem Aplikasi e-Samsat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67</w:t>
            </w:r>
          </w:p>
        </w:tc>
      </w:tr>
    </w:tbl>
    <w:p>
      <w:pPr>
        <w:pStyle w:val="18"/>
      </w:pPr>
    </w:p>
    <w:p>
      <w:pPr>
        <w:pStyle w:val="18"/>
      </w:pPr>
    </w:p>
    <w:p>
      <w:pPr>
        <w:autoSpaceDE w:val="0"/>
        <w:autoSpaceDN w:val="0"/>
        <w:adjustRightInd w:val="0"/>
        <w:spacing w:afterLines="50" w:line="240" w:lineRule="auto"/>
        <w:rPr>
          <w:rFonts w:cs="MyriadPro-BoldSemiCnIt"/>
          <w:b/>
          <w:bCs/>
          <w:i/>
          <w:iCs/>
          <w:color w:val="000000"/>
          <w:sz w:val="80"/>
          <w:szCs w:val="80"/>
        </w:rPr>
      </w:pPr>
    </w:p>
    <w:p>
      <w:pPr>
        <w:autoSpaceDE w:val="0"/>
        <w:autoSpaceDN w:val="0"/>
        <w:adjustRightInd w:val="0"/>
        <w:spacing w:afterLines="50" w:line="240" w:lineRule="auto"/>
        <w:rPr>
          <w:rFonts w:cs="MyriadPro-BoldSemiCnIt"/>
          <w:b/>
          <w:bCs/>
          <w:i/>
          <w:iCs/>
          <w:color w:val="000000"/>
          <w:sz w:val="80"/>
          <w:szCs w:val="80"/>
        </w:rPr>
      </w:pPr>
    </w:p>
    <w:p>
      <w:pPr>
        <w:autoSpaceDE w:val="0"/>
        <w:autoSpaceDN w:val="0"/>
        <w:adjustRightInd w:val="0"/>
        <w:spacing w:afterLines="50" w:line="240" w:lineRule="auto"/>
        <w:rPr>
          <w:rFonts w:cs="MyriadPro-BoldSemiCnIt"/>
          <w:b/>
          <w:bCs/>
          <w:i/>
          <w:iCs/>
          <w:color w:val="000000"/>
          <w:sz w:val="80"/>
          <w:szCs w:val="80"/>
        </w:rPr>
      </w:pPr>
    </w:p>
    <w:p>
      <w:pPr>
        <w:autoSpaceDE w:val="0"/>
        <w:autoSpaceDN w:val="0"/>
        <w:adjustRightInd w:val="0"/>
        <w:spacing w:afterLines="50" w:line="240" w:lineRule="auto"/>
        <w:rPr>
          <w:rFonts w:cs="MyriadPro-BoldSemiCnIt"/>
          <w:b/>
          <w:bCs/>
          <w:i/>
          <w:iCs/>
          <w:color w:val="000000"/>
          <w:sz w:val="80"/>
          <w:szCs w:val="80"/>
        </w:rPr>
      </w:pPr>
    </w:p>
    <w:p>
      <w:pPr>
        <w:autoSpaceDE w:val="0"/>
        <w:autoSpaceDN w:val="0"/>
        <w:adjustRightInd w:val="0"/>
        <w:spacing w:afterLines="50" w:line="240" w:lineRule="auto"/>
        <w:rPr>
          <w:rFonts w:cs="MyriadPro-BoldSemiCnIt"/>
          <w:b/>
          <w:bCs/>
          <w:i/>
          <w:iCs/>
          <w:color w:val="000000"/>
          <w:sz w:val="80"/>
          <w:szCs w:val="80"/>
        </w:rPr>
      </w:pPr>
    </w:p>
    <w:p>
      <w:pPr>
        <w:autoSpaceDE w:val="0"/>
        <w:autoSpaceDN w:val="0"/>
        <w:adjustRightInd w:val="0"/>
        <w:spacing w:afterLines="50" w:line="240" w:lineRule="auto"/>
        <w:rPr>
          <w:rFonts w:cs="MyriadPro-BoldSemiCnIt"/>
          <w:b/>
          <w:bCs/>
          <w:i/>
          <w:iCs/>
          <w:color w:val="000000"/>
          <w:sz w:val="80"/>
          <w:szCs w:val="80"/>
        </w:rPr>
      </w:pPr>
    </w:p>
    <w:p>
      <w:pPr>
        <w:autoSpaceDE w:val="0"/>
        <w:autoSpaceDN w:val="0"/>
        <w:adjustRightInd w:val="0"/>
        <w:spacing w:afterLines="50" w:line="240" w:lineRule="auto"/>
        <w:rPr>
          <w:rFonts w:cs="MyriadPro-BoldSemiCnIt"/>
          <w:b/>
          <w:bCs/>
          <w:i/>
          <w:iCs/>
          <w:color w:val="000000"/>
          <w:sz w:val="26"/>
          <w:szCs w:val="26"/>
        </w:rPr>
      </w:pPr>
      <w:r>
        <w:rPr>
          <w:rFonts w:cs="MyriadPro-BoldSemiCnIt"/>
          <w:b/>
          <w:bCs/>
          <w:i/>
          <w:iCs/>
          <w:color w:val="000000"/>
          <w:sz w:val="80"/>
          <w:szCs w:val="80"/>
        </w:rPr>
        <w:t>Daftar Grafik</w:t>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p>
    <w:p>
      <w:pPr>
        <w:autoSpaceDE w:val="0"/>
        <w:autoSpaceDN w:val="0"/>
        <w:adjustRightInd w:val="0"/>
        <w:spacing w:after="0" w:line="240" w:lineRule="auto"/>
        <w:jc w:val="center"/>
        <w:rPr>
          <w:rFonts w:cs="MyriadPro-Light"/>
          <w:color w:val="000000"/>
        </w:rPr>
      </w:pP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ab/>
      </w:r>
      <w:r>
        <w:rPr>
          <w:rFonts w:cs="MyriadPro-BoldSemiCnIt"/>
          <w:b/>
          <w:bCs/>
          <w:i/>
          <w:iCs/>
          <w:color w:val="000000"/>
          <w:sz w:val="26"/>
          <w:szCs w:val="26"/>
        </w:rPr>
        <w:t>Hal</w:t>
      </w:r>
    </w:p>
    <w:tbl>
      <w:tblPr>
        <w:tblStyle w:val="7"/>
        <w:tblW w:w="0" w:type="auto"/>
        <w:tblInd w:w="0" w:type="dxa"/>
        <w:tblLayout w:type="autofit"/>
        <w:tblCellMar>
          <w:top w:w="0" w:type="dxa"/>
          <w:left w:w="108" w:type="dxa"/>
          <w:bottom w:w="0" w:type="dxa"/>
          <w:right w:w="108" w:type="dxa"/>
        </w:tblCellMar>
      </w:tblPr>
      <w:tblGrid>
        <w:gridCol w:w="8814"/>
        <w:gridCol w:w="451"/>
      </w:tblGrid>
      <w:tr>
        <w:tblPrEx>
          <w:tblCellMar>
            <w:top w:w="0" w:type="dxa"/>
            <w:left w:w="108" w:type="dxa"/>
            <w:bottom w:w="0" w:type="dxa"/>
            <w:right w:w="108" w:type="dxa"/>
          </w:tblCellMar>
        </w:tblPrEx>
        <w:tc>
          <w:tcPr>
            <w:tcW w:w="8814" w:type="dxa"/>
            <w:noWrap/>
            <w:vAlign w:val="center"/>
          </w:tcPr>
          <w:p>
            <w:pPr>
              <w:autoSpaceDE w:val="0"/>
              <w:autoSpaceDN w:val="0"/>
              <w:adjustRightInd w:val="0"/>
              <w:spacing w:before="60" w:afterLines="50" w:line="240" w:lineRule="auto"/>
              <w:ind w:left="440" w:hanging="440" w:hangingChars="220"/>
              <w:rPr>
                <w:rFonts w:ascii="Tahoma" w:hAnsi="Tahoma" w:cs="Tahoma"/>
                <w:color w:val="000000"/>
                <w:sz w:val="20"/>
                <w:szCs w:val="20"/>
              </w:rPr>
            </w:pPr>
            <w:r>
              <w:rPr>
                <w:rFonts w:ascii="Tahoma" w:hAnsi="Tahoma" w:cs="Tahoma"/>
                <w:color w:val="000000"/>
                <w:sz w:val="20"/>
                <w:szCs w:val="20"/>
              </w:rPr>
              <w:t>3.1   Peningkatan PAD Tahun 20</w:t>
            </w:r>
            <w:r>
              <w:rPr>
                <w:rFonts w:hint="default" w:ascii="Tahoma" w:hAnsi="Tahoma" w:cs="Tahoma"/>
                <w:color w:val="000000"/>
                <w:sz w:val="20"/>
                <w:szCs w:val="20"/>
                <w:lang w:val="en-US"/>
              </w:rPr>
              <w:t>16</w:t>
            </w:r>
            <w:r>
              <w:rPr>
                <w:rFonts w:ascii="Tahoma" w:hAnsi="Tahoma" w:cs="Tahoma"/>
                <w:color w:val="000000"/>
                <w:sz w:val="20"/>
                <w:szCs w:val="20"/>
              </w:rPr>
              <w:t xml:space="preserve"> - 20</w:t>
            </w:r>
            <w:r>
              <w:rPr>
                <w:rFonts w:hint="default" w:ascii="Tahoma" w:hAnsi="Tahoma" w:cs="Tahoma"/>
                <w:color w:val="000000"/>
                <w:sz w:val="20"/>
                <w:szCs w:val="20"/>
                <w:lang w:val="en-US"/>
              </w:rPr>
              <w:t>20</w:t>
            </w:r>
            <w:r>
              <w:rPr>
                <w:rFonts w:ascii="Tahoma" w:hAnsi="Tahoma" w:cs="Tahoma"/>
                <w:color w:val="000000"/>
                <w:sz w:val="20"/>
                <w:szCs w:val="20"/>
              </w:rPr>
              <w:t xml:space="preserve">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ascii="Tahoma" w:hAnsi="Tahoma" w:cs="Tahoma"/>
                <w:color w:val="000000"/>
                <w:sz w:val="20"/>
                <w:szCs w:val="20"/>
              </w:rPr>
            </w:pPr>
            <w:r>
              <w:rPr>
                <w:rFonts w:ascii="Tahoma" w:hAnsi="Tahoma" w:cs="Tahoma"/>
                <w:color w:val="000000"/>
                <w:sz w:val="20"/>
                <w:szCs w:val="20"/>
              </w:rPr>
              <w:t>44</w:t>
            </w:r>
          </w:p>
        </w:tc>
      </w:tr>
      <w:tr>
        <w:tblPrEx>
          <w:tblCellMar>
            <w:top w:w="0" w:type="dxa"/>
            <w:left w:w="108" w:type="dxa"/>
            <w:bottom w:w="0" w:type="dxa"/>
            <w:right w:w="108" w:type="dxa"/>
          </w:tblCellMar>
        </w:tblPrEx>
        <w:tc>
          <w:tcPr>
            <w:tcW w:w="8814" w:type="dxa"/>
            <w:noWrap/>
            <w:vAlign w:val="center"/>
          </w:tcPr>
          <w:p>
            <w:pPr>
              <w:autoSpaceDE w:val="0"/>
              <w:autoSpaceDN w:val="0"/>
              <w:adjustRightInd w:val="0"/>
              <w:spacing w:before="60" w:afterLines="50" w:line="240" w:lineRule="auto"/>
              <w:ind w:left="440" w:hanging="440" w:hangingChars="220"/>
              <w:rPr>
                <w:rFonts w:ascii="Tahoma" w:hAnsi="Tahoma" w:cs="Tahoma"/>
                <w:color w:val="000000"/>
                <w:sz w:val="20"/>
                <w:szCs w:val="20"/>
                <w:lang w:val="id-ID"/>
              </w:rPr>
            </w:pPr>
            <w:r>
              <w:rPr>
                <w:rFonts w:ascii="Tahoma" w:hAnsi="Tahoma" w:cs="Tahoma"/>
                <w:color w:val="000000"/>
                <w:sz w:val="20"/>
                <w:szCs w:val="20"/>
              </w:rPr>
              <w:t>3.2   Perkembangan Realisasi Pajak Daerah Tahun 20</w:t>
            </w:r>
            <w:r>
              <w:rPr>
                <w:rFonts w:hint="default" w:ascii="Tahoma" w:hAnsi="Tahoma" w:cs="Tahoma"/>
                <w:color w:val="000000"/>
                <w:sz w:val="20"/>
                <w:szCs w:val="20"/>
                <w:lang w:val="en-US"/>
              </w:rPr>
              <w:t>16</w:t>
            </w:r>
            <w:r>
              <w:rPr>
                <w:rFonts w:ascii="Tahoma" w:hAnsi="Tahoma" w:cs="Tahoma"/>
                <w:color w:val="000000"/>
                <w:sz w:val="20"/>
                <w:szCs w:val="20"/>
              </w:rPr>
              <w:t xml:space="preserve"> - 20</w:t>
            </w:r>
            <w:r>
              <w:rPr>
                <w:rFonts w:hint="default" w:ascii="Tahoma" w:hAnsi="Tahoma" w:cs="Tahoma"/>
                <w:color w:val="000000"/>
                <w:sz w:val="20"/>
                <w:szCs w:val="20"/>
                <w:lang w:val="en-US"/>
              </w:rPr>
              <w:t>20</w:t>
            </w:r>
            <w:r>
              <w:rPr>
                <w:rFonts w:ascii="Tahoma" w:hAnsi="Tahoma" w:cs="Tahoma"/>
                <w:color w:val="000000"/>
                <w:sz w:val="20"/>
                <w:szCs w:val="20"/>
              </w:rPr>
              <w:t xml:space="preserve"> </w:t>
            </w:r>
            <w:r>
              <w:rPr>
                <w:rFonts w:ascii="Tahoma" w:hAnsi="Tahoma" w:cs="Tahoma"/>
                <w:color w:val="000000"/>
                <w:sz w:val="20"/>
                <w:szCs w:val="20"/>
                <w:lang w:val="id-ID"/>
              </w:rPr>
              <w:t>............................................</w:t>
            </w:r>
          </w:p>
        </w:tc>
        <w:tc>
          <w:tcPr>
            <w:tcW w:w="451" w:type="dxa"/>
            <w:noWrap/>
            <w:vAlign w:val="center"/>
          </w:tcPr>
          <w:p>
            <w:pPr>
              <w:autoSpaceDE w:val="0"/>
              <w:autoSpaceDN w:val="0"/>
              <w:adjustRightInd w:val="0"/>
              <w:spacing w:before="60" w:afterLines="50" w:line="240" w:lineRule="auto"/>
              <w:jc w:val="right"/>
              <w:rPr>
                <w:rFonts w:hint="default" w:ascii="Tahoma" w:hAnsi="Tahoma" w:cs="Tahoma"/>
                <w:color w:val="000000"/>
                <w:sz w:val="20"/>
                <w:szCs w:val="20"/>
                <w:lang w:val="en-US"/>
              </w:rPr>
            </w:pPr>
            <w:r>
              <w:rPr>
                <w:rFonts w:hint="default" w:ascii="Tahoma" w:hAnsi="Tahoma" w:cs="Tahoma"/>
                <w:color w:val="000000"/>
                <w:sz w:val="20"/>
                <w:szCs w:val="20"/>
                <w:lang w:val="en-US"/>
              </w:rPr>
              <w:t>47</w:t>
            </w:r>
          </w:p>
        </w:tc>
      </w:tr>
    </w:tbl>
    <w:p>
      <w:pPr>
        <w:pStyle w:val="18"/>
      </w:pPr>
    </w:p>
    <w:p>
      <w:pPr>
        <w:pStyle w:val="18"/>
      </w:pPr>
    </w:p>
    <w:p>
      <w:pPr>
        <w:pStyle w:val="18"/>
      </w:pPr>
    </w:p>
    <w:p>
      <w:pPr>
        <w:pStyle w:val="18"/>
      </w:pPr>
    </w:p>
    <w:p>
      <w:pPr>
        <w:pStyle w:val="18"/>
      </w:pPr>
    </w:p>
    <w:p>
      <w:pPr>
        <w:pStyle w:val="18"/>
      </w:pPr>
    </w:p>
    <w:p>
      <w:pPr>
        <w:pStyle w:val="18"/>
      </w:pPr>
    </w:p>
    <w:p>
      <w:pPr>
        <w:pStyle w:val="18"/>
      </w:pPr>
    </w:p>
    <w:p>
      <w:pPr>
        <w:pStyle w:val="18"/>
      </w:pPr>
    </w:p>
    <w:p>
      <w:pPr>
        <w:pStyle w:val="18"/>
        <w:ind w:left="0"/>
        <w:jc w:val="both"/>
      </w:pPr>
    </w:p>
    <w:p>
      <w:pPr>
        <w:pStyle w:val="18"/>
      </w:pPr>
      <w:r>
        <w:t>Ringkasan Eksekutif</w:t>
      </w:r>
    </w:p>
    <w:p>
      <w:pPr>
        <w:pStyle w:val="10"/>
        <w:spacing w:after="120" w:line="480" w:lineRule="auto"/>
        <w:ind w:firstLine="0"/>
        <w:rPr>
          <w:rFonts w:ascii="Calibri" w:hAnsi="Calibri"/>
          <w:color w:val="000000"/>
        </w:rPr>
      </w:pPr>
    </w:p>
    <w:p>
      <w:pPr>
        <w:pStyle w:val="10"/>
        <w:spacing w:after="120" w:line="240" w:lineRule="auto"/>
        <w:ind w:firstLine="0"/>
        <w:rPr>
          <w:rFonts w:ascii="Calibri" w:hAnsi="Calibri"/>
          <w:color w:val="000000"/>
        </w:rPr>
      </w:pPr>
    </w:p>
    <w:p>
      <w:pPr>
        <w:keepNext/>
        <w:framePr w:dropCap="drop" w:lines="5" w:h="1306" w:hRule="exact" w:hSpace="113" w:wrap="around" w:vAnchor="text" w:hAnchor="text" w:y="-394"/>
        <w:spacing w:after="0" w:line="1306" w:lineRule="exact"/>
        <w:jc w:val="both"/>
        <w:textAlignment w:val="baseline"/>
        <w:rPr>
          <w:color w:val="000000"/>
          <w:position w:val="-15"/>
          <w:sz w:val="144"/>
          <w:szCs w:val="144"/>
        </w:rPr>
      </w:pPr>
      <w:r>
        <w:rPr>
          <w:color w:val="000000"/>
          <w:position w:val="-15"/>
          <w:sz w:val="144"/>
          <w:szCs w:val="144"/>
        </w:rPr>
        <w:t>L</w:t>
      </w:r>
    </w:p>
    <w:p>
      <w:pPr>
        <w:pStyle w:val="10"/>
        <w:spacing w:after="120"/>
        <w:ind w:firstLine="0"/>
        <w:rPr>
          <w:rFonts w:ascii="Tahoma" w:hAnsi="Tahoma" w:cs="Tahoma"/>
          <w:color w:val="000000"/>
          <w:sz w:val="22"/>
          <w:szCs w:val="22"/>
          <w:lang w:val="id-ID"/>
        </w:rPr>
      </w:pPr>
      <w:r>
        <w:rPr>
          <w:rFonts w:ascii="Tahoma" w:hAnsi="Tahoma" w:cs="Tahoma"/>
          <w:color w:val="000000"/>
          <w:sz w:val="22"/>
          <w:szCs w:val="22"/>
          <w:lang w:val="id-ID"/>
        </w:rPr>
        <w:t>aporan Kinerja Badan Keuangan Daerah Provinsi Sumatera Barat Tahun 20</w:t>
      </w:r>
      <w:r>
        <w:rPr>
          <w:rFonts w:ascii="Tahoma" w:hAnsi="Tahoma" w:cs="Tahoma"/>
          <w:color w:val="000000"/>
          <w:sz w:val="22"/>
          <w:szCs w:val="22"/>
        </w:rPr>
        <w:t>20</w:t>
      </w:r>
      <w:r>
        <w:rPr>
          <w:rFonts w:ascii="Tahoma" w:hAnsi="Tahoma" w:cs="Tahoma"/>
          <w:color w:val="000000"/>
          <w:sz w:val="22"/>
          <w:szCs w:val="22"/>
          <w:lang w:val="id-ID"/>
        </w:rPr>
        <w:t xml:space="preserve"> ini </w:t>
      </w:r>
      <w:r>
        <w:rPr>
          <w:rFonts w:ascii="Tahoma" w:hAnsi="Tahoma" w:cs="Tahoma"/>
          <w:color w:val="000000"/>
          <w:sz w:val="22"/>
          <w:szCs w:val="22"/>
        </w:rPr>
        <w:t>merupakan wujud akuntabilitas pencapaian kinerja dari pelaksanaan Rencana Strategis Badan Keuangan DaerahTahun 20</w:t>
      </w:r>
      <w:r>
        <w:rPr>
          <w:rFonts w:ascii="Tahoma" w:hAnsi="Tahoma" w:cs="Tahoma"/>
          <w:color w:val="000000"/>
          <w:sz w:val="22"/>
          <w:szCs w:val="22"/>
          <w:lang w:val="id-ID"/>
        </w:rPr>
        <w:t>16</w:t>
      </w:r>
      <w:r>
        <w:rPr>
          <w:rFonts w:ascii="Tahoma" w:hAnsi="Tahoma" w:cs="Tahoma"/>
          <w:color w:val="000000"/>
          <w:sz w:val="22"/>
          <w:szCs w:val="22"/>
        </w:rPr>
        <w:t>-20</w:t>
      </w:r>
      <w:r>
        <w:rPr>
          <w:rFonts w:ascii="Tahoma" w:hAnsi="Tahoma" w:cs="Tahoma"/>
          <w:color w:val="000000"/>
          <w:sz w:val="22"/>
          <w:szCs w:val="22"/>
          <w:lang w:val="id-ID"/>
        </w:rPr>
        <w:t>2</w:t>
      </w:r>
      <w:r>
        <w:rPr>
          <w:rFonts w:ascii="Tahoma" w:hAnsi="Tahoma" w:cs="Tahoma"/>
          <w:color w:val="000000"/>
          <w:sz w:val="22"/>
          <w:szCs w:val="22"/>
        </w:rPr>
        <w:t>1 dan Rencana Kinerja Tahunan 20</w:t>
      </w:r>
      <w:r>
        <w:rPr>
          <w:rFonts w:hint="default" w:ascii="Tahoma" w:hAnsi="Tahoma" w:cs="Tahoma"/>
          <w:color w:val="000000"/>
          <w:sz w:val="22"/>
          <w:szCs w:val="22"/>
          <w:lang w:val="en-US"/>
        </w:rPr>
        <w:t>20</w:t>
      </w:r>
      <w:r>
        <w:rPr>
          <w:rFonts w:ascii="Tahoma" w:hAnsi="Tahoma" w:cs="Tahoma"/>
          <w:color w:val="000000"/>
          <w:sz w:val="22"/>
          <w:szCs w:val="22"/>
        </w:rPr>
        <w:t xml:space="preserve"> yang telah ditetapkan melalui Penetapan Kinerja Tahun 2020. Penyusunan Laporan Kinerja Badan Keuangan Daerah</w:t>
      </w:r>
      <w:r>
        <w:rPr>
          <w:rFonts w:ascii="Tahoma" w:hAnsi="Tahoma" w:cs="Tahoma"/>
          <w:color w:val="000000"/>
          <w:sz w:val="22"/>
          <w:szCs w:val="22"/>
          <w:lang w:val="id-ID"/>
        </w:rPr>
        <w:t xml:space="preserve"> Tahun 20</w:t>
      </w:r>
      <w:r>
        <w:rPr>
          <w:rFonts w:ascii="Tahoma" w:hAnsi="Tahoma" w:cs="Tahoma"/>
          <w:color w:val="000000"/>
          <w:sz w:val="22"/>
          <w:szCs w:val="22"/>
        </w:rPr>
        <w:t>20 ini p</w:t>
      </w:r>
      <w:r>
        <w:rPr>
          <w:rFonts w:ascii="Tahoma" w:hAnsi="Tahoma" w:cs="Tahoma"/>
          <w:color w:val="000000"/>
          <w:sz w:val="22"/>
          <w:szCs w:val="22"/>
          <w:lang w:val="id-ID"/>
        </w:rPr>
        <w:t>ada hakekatnya merupakan kewajiban dan upaya untuk memberikan penjelasan mengenai akuntabilitas dan responsibilitas  terhadap kinerja yang telah dilakukan  selama tahun 20</w:t>
      </w:r>
      <w:r>
        <w:rPr>
          <w:rFonts w:ascii="Tahoma" w:hAnsi="Tahoma" w:cs="Tahoma"/>
          <w:color w:val="000000"/>
          <w:sz w:val="22"/>
          <w:szCs w:val="22"/>
        </w:rPr>
        <w:t>20</w:t>
      </w:r>
      <w:r>
        <w:rPr>
          <w:rFonts w:ascii="Tahoma" w:hAnsi="Tahoma" w:cs="Tahoma"/>
          <w:color w:val="000000"/>
          <w:sz w:val="22"/>
          <w:szCs w:val="22"/>
          <w:lang w:val="id-ID"/>
        </w:rPr>
        <w:t xml:space="preserve">. </w:t>
      </w:r>
      <w:r>
        <w:rPr>
          <w:rFonts w:ascii="Tahoma" w:hAnsi="Tahoma" w:cs="Tahoma"/>
          <w:color w:val="000000"/>
          <w:sz w:val="22"/>
          <w:szCs w:val="22"/>
        </w:rPr>
        <w:t>Hal ini mengingat p</w:t>
      </w:r>
      <w:r>
        <w:rPr>
          <w:rFonts w:ascii="Tahoma" w:hAnsi="Tahoma" w:cs="Tahoma"/>
          <w:color w:val="000000"/>
          <w:sz w:val="22"/>
          <w:szCs w:val="22"/>
          <w:lang w:val="id-ID"/>
        </w:rPr>
        <w:t xml:space="preserve">elaporan akuntabilitas kinerja merupakan suatu </w:t>
      </w:r>
      <w:r>
        <w:rPr>
          <w:rFonts w:ascii="Tahoma" w:hAnsi="Tahoma" w:cs="Tahoma"/>
          <w:color w:val="000000"/>
          <w:sz w:val="22"/>
          <w:szCs w:val="22"/>
        </w:rPr>
        <w:t xml:space="preserve">keharusan </w:t>
      </w:r>
      <w:r>
        <w:rPr>
          <w:rFonts w:ascii="Tahoma" w:hAnsi="Tahoma" w:cs="Tahoma"/>
          <w:color w:val="000000"/>
          <w:sz w:val="22"/>
          <w:szCs w:val="22"/>
          <w:lang w:val="id-ID"/>
        </w:rPr>
        <w:t>manajemen pemerintahan daerah dan implementasi berbagai kebijakan  daerah yang menitikberatkan pada upaya peningkatan kepercayaan publik dan perwujudan kepemerintahan yang baik (</w:t>
      </w:r>
      <w:r>
        <w:rPr>
          <w:rFonts w:ascii="Tahoma" w:hAnsi="Tahoma" w:cs="Tahoma"/>
          <w:i/>
          <w:iCs/>
          <w:color w:val="000000"/>
          <w:sz w:val="22"/>
          <w:szCs w:val="22"/>
          <w:lang w:val="id-ID"/>
        </w:rPr>
        <w:t>good governance</w:t>
      </w:r>
      <w:r>
        <w:rPr>
          <w:rFonts w:ascii="Tahoma" w:hAnsi="Tahoma" w:cs="Tahoma"/>
          <w:color w:val="000000"/>
          <w:sz w:val="22"/>
          <w:szCs w:val="22"/>
          <w:lang w:val="id-ID"/>
        </w:rPr>
        <w:t>), sebagaimana termuat dala</w:t>
      </w:r>
      <w:r>
        <w:rPr>
          <w:rFonts w:ascii="Tahoma" w:hAnsi="Tahoma" w:cs="Tahoma"/>
          <w:color w:val="000000"/>
          <w:sz w:val="22"/>
          <w:szCs w:val="22"/>
        </w:rPr>
        <w:t>m</w:t>
      </w:r>
      <w:r>
        <w:rPr>
          <w:rFonts w:ascii="Tahoma" w:hAnsi="Tahoma" w:cs="Tahoma"/>
          <w:color w:val="000000"/>
          <w:sz w:val="22"/>
          <w:szCs w:val="22"/>
          <w:lang w:val="id-ID"/>
        </w:rPr>
        <w:t xml:space="preserve"> T</w:t>
      </w:r>
      <w:r>
        <w:rPr>
          <w:rFonts w:hint="default" w:ascii="Tahoma" w:hAnsi="Tahoma" w:cs="Tahoma"/>
          <w:color w:val="000000"/>
          <w:sz w:val="22"/>
          <w:szCs w:val="22"/>
          <w:lang w:val="en-US"/>
        </w:rPr>
        <w:t>AP</w:t>
      </w:r>
      <w:r>
        <w:rPr>
          <w:rFonts w:ascii="Tahoma" w:hAnsi="Tahoma" w:cs="Tahoma"/>
          <w:color w:val="000000"/>
          <w:sz w:val="22"/>
          <w:szCs w:val="22"/>
          <w:lang w:val="id-ID"/>
        </w:rPr>
        <w:t xml:space="preserve"> MPR No</w:t>
      </w:r>
      <w:r>
        <w:rPr>
          <w:rFonts w:ascii="Tahoma" w:hAnsi="Tahoma" w:cs="Tahoma"/>
          <w:color w:val="000000"/>
          <w:sz w:val="22"/>
          <w:szCs w:val="22"/>
        </w:rPr>
        <w:t>mor</w:t>
      </w:r>
      <w:r>
        <w:rPr>
          <w:rFonts w:ascii="Tahoma" w:hAnsi="Tahoma" w:cs="Tahoma"/>
          <w:color w:val="000000"/>
          <w:sz w:val="22"/>
          <w:szCs w:val="22"/>
          <w:lang w:val="id-ID"/>
        </w:rPr>
        <w:t xml:space="preserve"> XI/MPR/1998 tentang Penyelenggaraan Negara yang Bersih dan Bebas Korupsi, Kolusi dan Nepotisme yang ditindaklanjuti dengan UU No</w:t>
      </w:r>
      <w:r>
        <w:rPr>
          <w:rFonts w:ascii="Tahoma" w:hAnsi="Tahoma" w:cs="Tahoma"/>
          <w:color w:val="000000"/>
          <w:sz w:val="22"/>
          <w:szCs w:val="22"/>
        </w:rPr>
        <w:t>mor</w:t>
      </w:r>
      <w:r>
        <w:rPr>
          <w:rFonts w:ascii="Tahoma" w:hAnsi="Tahoma" w:cs="Tahoma"/>
          <w:color w:val="000000"/>
          <w:sz w:val="22"/>
          <w:szCs w:val="22"/>
          <w:lang w:val="id-ID"/>
        </w:rPr>
        <w:t xml:space="preserve"> 28 Tahun 1999 tentang Penyelenggaraan Negara yang Bersih dan Bebas Korupsi, Kolusi dan Nepotisme. </w:t>
      </w:r>
    </w:p>
    <w:p>
      <w:pPr>
        <w:pStyle w:val="10"/>
        <w:ind w:firstLine="0"/>
        <w:rPr>
          <w:rFonts w:ascii="Tahoma" w:hAnsi="Tahoma" w:cs="Tahoma"/>
          <w:i/>
          <w:iCs/>
          <w:color w:val="000000"/>
          <w:sz w:val="22"/>
          <w:szCs w:val="22"/>
        </w:rPr>
      </w:pPr>
      <w:r>
        <w:rPr>
          <w:rFonts w:ascii="Tahoma" w:hAnsi="Tahoma" w:cs="Tahoma"/>
          <w:color w:val="000000"/>
          <w:sz w:val="22"/>
          <w:szCs w:val="22"/>
          <w:lang w:val="id-ID"/>
        </w:rPr>
        <w:t>Seiring dengan upaya merealisasikan penyelenggaran Pemerintahan Yang Baik dan Bersih</w:t>
      </w:r>
      <w:r>
        <w:rPr>
          <w:rFonts w:ascii="Tahoma" w:hAnsi="Tahoma" w:cs="Tahoma"/>
          <w:i/>
          <w:color w:val="000000"/>
          <w:sz w:val="22"/>
          <w:szCs w:val="22"/>
        </w:rPr>
        <w:t>,</w:t>
      </w:r>
      <w:r>
        <w:rPr>
          <w:rFonts w:ascii="Tahoma" w:hAnsi="Tahoma" w:cs="Tahoma"/>
          <w:color w:val="000000"/>
          <w:sz w:val="22"/>
          <w:szCs w:val="22"/>
          <w:lang w:val="id-ID"/>
        </w:rPr>
        <w:t xml:space="preserve"> Badan Keuangan Daerah telah melaksanakan berbagai kegiatan dan program, mewujudkan tercapainya tujuan dan sasaran</w:t>
      </w:r>
      <w:r>
        <w:rPr>
          <w:rFonts w:ascii="Tahoma" w:hAnsi="Tahoma" w:cs="Tahoma"/>
          <w:color w:val="000000"/>
          <w:sz w:val="22"/>
          <w:szCs w:val="22"/>
        </w:rPr>
        <w:t>.</w:t>
      </w:r>
    </w:p>
    <w:p>
      <w:pPr>
        <w:pStyle w:val="10"/>
        <w:spacing w:before="120" w:after="120"/>
        <w:ind w:firstLine="0"/>
        <w:rPr>
          <w:rFonts w:ascii="Tahoma" w:hAnsi="Tahoma" w:cs="Tahoma"/>
          <w:color w:val="000000"/>
          <w:sz w:val="22"/>
          <w:szCs w:val="22"/>
          <w:lang w:val="id-ID"/>
        </w:rPr>
      </w:pPr>
      <w:r>
        <w:rPr>
          <w:rFonts w:ascii="Tahoma" w:hAnsi="Tahoma" w:cs="Tahoma"/>
          <w:color w:val="000000"/>
          <w:sz w:val="22"/>
          <w:szCs w:val="22"/>
          <w:lang w:val="id-ID"/>
        </w:rPr>
        <w:t xml:space="preserve">Dalam rangka pelaksanaan tugas pemerintahan di bidang pengelolaan keuangan daerah maka dirumuskan tujuan dan sasaran yang diharapkan dapat dicapai untuk 5 (lima) tahun mendatang. Adapun </w:t>
      </w:r>
      <w:r>
        <w:rPr>
          <w:rFonts w:ascii="Tahoma" w:hAnsi="Tahoma" w:cs="Tahoma"/>
          <w:color w:val="000000"/>
          <w:sz w:val="22"/>
          <w:szCs w:val="22"/>
        </w:rPr>
        <w:t>t</w:t>
      </w:r>
      <w:r>
        <w:rPr>
          <w:rFonts w:ascii="Tahoma" w:hAnsi="Tahoma" w:cs="Tahoma"/>
          <w:color w:val="000000"/>
          <w:sz w:val="22"/>
          <w:szCs w:val="22"/>
          <w:lang w:val="id-ID"/>
        </w:rPr>
        <w:t xml:space="preserve">ujuan yang hendak dicapai oleh </w:t>
      </w:r>
      <w:r>
        <w:rPr>
          <w:rFonts w:ascii="Tahoma" w:hAnsi="Tahoma" w:cs="Tahoma"/>
          <w:color w:val="000000"/>
          <w:sz w:val="22"/>
          <w:szCs w:val="22"/>
        </w:rPr>
        <w:t>Badan Keuangan Daerah</w:t>
      </w:r>
      <w:r>
        <w:rPr>
          <w:rFonts w:ascii="Tahoma" w:hAnsi="Tahoma" w:cs="Tahoma"/>
          <w:color w:val="000000"/>
          <w:sz w:val="22"/>
          <w:szCs w:val="22"/>
          <w:lang w:val="id-ID"/>
        </w:rPr>
        <w:t xml:space="preserve"> adalah </w:t>
      </w:r>
      <w:r>
        <w:rPr>
          <w:rFonts w:ascii="Tahoma" w:hAnsi="Tahoma" w:cs="Tahoma"/>
          <w:i/>
          <w:color w:val="000000"/>
          <w:sz w:val="22"/>
          <w:szCs w:val="22"/>
          <w:lang w:val="id-ID"/>
        </w:rPr>
        <w:t>pertama</w:t>
      </w:r>
      <w:r>
        <w:rPr>
          <w:rFonts w:hint="default" w:ascii="Tahoma" w:hAnsi="Tahoma" w:cs="Tahoma"/>
          <w:i/>
          <w:color w:val="000000"/>
          <w:sz w:val="22"/>
          <w:szCs w:val="22"/>
          <w:lang w:val="en-US"/>
        </w:rPr>
        <w:t xml:space="preserve"> </w:t>
      </w:r>
      <w:r>
        <w:rPr>
          <w:rFonts w:ascii="Tahoma" w:hAnsi="Tahoma" w:cs="Tahoma"/>
          <w:i/>
          <w:color w:val="000000"/>
          <w:sz w:val="22"/>
          <w:szCs w:val="22"/>
          <w:lang w:val="id-ID"/>
        </w:rPr>
        <w:t>:</w:t>
      </w:r>
      <w:r>
        <w:rPr>
          <w:rFonts w:hint="default" w:ascii="Tahoma" w:hAnsi="Tahoma" w:cs="Tahoma"/>
          <w:i/>
          <w:color w:val="000000"/>
          <w:sz w:val="22"/>
          <w:szCs w:val="22"/>
          <w:lang w:val="en-US"/>
        </w:rPr>
        <w:t xml:space="preserve"> </w:t>
      </w:r>
      <w:r>
        <w:rPr>
          <w:rFonts w:ascii="Tahoma" w:hAnsi="Tahoma" w:cs="Tahoma"/>
          <w:color w:val="000000"/>
          <w:sz w:val="22"/>
          <w:szCs w:val="22"/>
        </w:rPr>
        <w:t>Meningkatnya Transparansi dan Akuntabilitas dalam Penyelenggaraan Pengelolaan Keuangan Daerah</w:t>
      </w:r>
      <w:r>
        <w:rPr>
          <w:rFonts w:ascii="Tahoma" w:hAnsi="Tahoma" w:cs="Tahoma"/>
          <w:color w:val="000000"/>
          <w:sz w:val="22"/>
          <w:szCs w:val="22"/>
          <w:lang w:val="id-ID"/>
        </w:rPr>
        <w:t xml:space="preserve">; </w:t>
      </w:r>
      <w:r>
        <w:rPr>
          <w:rFonts w:ascii="Tahoma" w:hAnsi="Tahoma" w:cs="Tahoma"/>
          <w:i/>
          <w:color w:val="000000"/>
          <w:sz w:val="22"/>
          <w:szCs w:val="22"/>
          <w:lang w:val="id-ID"/>
        </w:rPr>
        <w:t>kedua</w:t>
      </w:r>
      <w:r>
        <w:rPr>
          <w:rFonts w:hint="default" w:ascii="Tahoma" w:hAnsi="Tahoma" w:cs="Tahoma"/>
          <w:i/>
          <w:color w:val="000000"/>
          <w:sz w:val="22"/>
          <w:szCs w:val="22"/>
          <w:lang w:val="en-US"/>
        </w:rPr>
        <w:t xml:space="preserve"> </w:t>
      </w:r>
      <w:r>
        <w:rPr>
          <w:rFonts w:ascii="Tahoma" w:hAnsi="Tahoma" w:cs="Tahoma"/>
          <w:i/>
          <w:color w:val="000000"/>
          <w:sz w:val="22"/>
          <w:szCs w:val="22"/>
          <w:lang w:val="id-ID"/>
        </w:rPr>
        <w:t>:</w:t>
      </w:r>
      <w:r>
        <w:rPr>
          <w:rFonts w:hint="default" w:ascii="Tahoma" w:hAnsi="Tahoma" w:cs="Tahoma"/>
          <w:i/>
          <w:color w:val="000000"/>
          <w:sz w:val="22"/>
          <w:szCs w:val="22"/>
          <w:lang w:val="en-US"/>
        </w:rPr>
        <w:t xml:space="preserve"> </w:t>
      </w:r>
      <w:r>
        <w:rPr>
          <w:rFonts w:ascii="Tahoma" w:hAnsi="Tahoma" w:cs="Tahoma"/>
          <w:color w:val="000000"/>
          <w:sz w:val="22"/>
          <w:szCs w:val="22"/>
        </w:rPr>
        <w:t>Meningkatnya Pendapatan Daerah</w:t>
      </w:r>
      <w:r>
        <w:rPr>
          <w:rFonts w:ascii="Tahoma" w:hAnsi="Tahoma" w:cs="Tahoma"/>
          <w:color w:val="000000"/>
          <w:sz w:val="22"/>
          <w:szCs w:val="22"/>
          <w:lang w:val="id-ID"/>
        </w:rPr>
        <w:t xml:space="preserve">;  dan </w:t>
      </w:r>
      <w:r>
        <w:rPr>
          <w:rFonts w:ascii="Tahoma" w:hAnsi="Tahoma" w:cs="Tahoma"/>
          <w:i/>
          <w:color w:val="000000"/>
          <w:sz w:val="22"/>
          <w:szCs w:val="22"/>
          <w:lang w:val="id-ID"/>
        </w:rPr>
        <w:t>ketiga</w:t>
      </w:r>
      <w:r>
        <w:rPr>
          <w:rFonts w:hint="default" w:ascii="Tahoma" w:hAnsi="Tahoma" w:cs="Tahoma"/>
          <w:i/>
          <w:color w:val="000000"/>
          <w:sz w:val="22"/>
          <w:szCs w:val="22"/>
          <w:lang w:val="en-US"/>
        </w:rPr>
        <w:t xml:space="preserve"> </w:t>
      </w:r>
      <w:r>
        <w:rPr>
          <w:rFonts w:ascii="Tahoma" w:hAnsi="Tahoma" w:cs="Tahoma"/>
          <w:i/>
          <w:color w:val="000000"/>
          <w:sz w:val="22"/>
          <w:szCs w:val="22"/>
          <w:lang w:val="id-ID"/>
        </w:rPr>
        <w:t>:</w:t>
      </w:r>
      <w:r>
        <w:rPr>
          <w:rFonts w:hint="default" w:ascii="Tahoma" w:hAnsi="Tahoma" w:cs="Tahoma"/>
          <w:i/>
          <w:color w:val="000000"/>
          <w:sz w:val="22"/>
          <w:szCs w:val="22"/>
          <w:lang w:val="en-US"/>
        </w:rPr>
        <w:t xml:space="preserve"> </w:t>
      </w:r>
      <w:r>
        <w:rPr>
          <w:rFonts w:ascii="Tahoma" w:hAnsi="Tahoma" w:cs="Tahoma"/>
          <w:color w:val="000000"/>
          <w:sz w:val="22"/>
          <w:szCs w:val="22"/>
        </w:rPr>
        <w:t>Meningkatnya Kinerja</w:t>
      </w:r>
      <w:r>
        <w:rPr>
          <w:rFonts w:ascii="Tahoma" w:hAnsi="Tahoma" w:cs="Tahoma"/>
          <w:color w:val="000000"/>
          <w:sz w:val="22"/>
          <w:szCs w:val="22"/>
          <w:lang w:val="id-ID"/>
        </w:rPr>
        <w:t xml:space="preserve"> Organisasi</w:t>
      </w:r>
    </w:p>
    <w:p>
      <w:pPr>
        <w:pStyle w:val="10"/>
        <w:spacing w:after="120"/>
        <w:ind w:firstLine="0"/>
        <w:rPr>
          <w:rFonts w:ascii="Tahoma" w:hAnsi="Tahoma" w:cs="Tahoma"/>
          <w:color w:val="000000"/>
          <w:sz w:val="22"/>
          <w:szCs w:val="22"/>
          <w:lang w:val="id-ID"/>
        </w:rPr>
      </w:pPr>
      <w:r>
        <w:rPr>
          <w:rFonts w:ascii="Tahoma" w:hAnsi="Tahoma" w:cs="Tahoma"/>
          <w:color w:val="000000"/>
          <w:sz w:val="22"/>
          <w:szCs w:val="22"/>
          <w:lang w:val="id-ID"/>
        </w:rPr>
        <w:t xml:space="preserve">Selanjutnya dari tujuan tersebut maka </w:t>
      </w:r>
      <w:r>
        <w:rPr>
          <w:rFonts w:ascii="Tahoma" w:hAnsi="Tahoma" w:cs="Tahoma"/>
          <w:iCs/>
          <w:color w:val="000000"/>
          <w:sz w:val="22"/>
          <w:szCs w:val="22"/>
          <w:lang w:val="id-ID"/>
        </w:rPr>
        <w:t>sasaran</w:t>
      </w:r>
      <w:r>
        <w:rPr>
          <w:rFonts w:hint="default" w:ascii="Tahoma" w:hAnsi="Tahoma" w:cs="Tahoma"/>
          <w:iCs/>
          <w:color w:val="000000"/>
          <w:sz w:val="22"/>
          <w:szCs w:val="22"/>
          <w:lang w:val="en-US"/>
        </w:rPr>
        <w:t xml:space="preserve"> </w:t>
      </w:r>
      <w:r>
        <w:rPr>
          <w:rFonts w:ascii="Tahoma" w:hAnsi="Tahoma" w:cs="Tahoma"/>
          <w:color w:val="000000"/>
          <w:sz w:val="22"/>
          <w:szCs w:val="22"/>
          <w:lang w:val="id-ID"/>
        </w:rPr>
        <w:t>yang ditetapkan</w:t>
      </w:r>
      <w:r>
        <w:rPr>
          <w:rFonts w:hint="default" w:ascii="Tahoma" w:hAnsi="Tahoma" w:cs="Tahoma"/>
          <w:color w:val="000000"/>
          <w:sz w:val="22"/>
          <w:szCs w:val="22"/>
          <w:lang w:val="en-US"/>
        </w:rPr>
        <w:t xml:space="preserve"> </w:t>
      </w:r>
      <w:r>
        <w:rPr>
          <w:rFonts w:ascii="Tahoma" w:hAnsi="Tahoma" w:cs="Tahoma"/>
          <w:color w:val="000000"/>
          <w:sz w:val="22"/>
          <w:szCs w:val="22"/>
          <w:lang w:val="id-ID"/>
        </w:rPr>
        <w:t xml:space="preserve">adalah </w:t>
      </w:r>
      <w:r>
        <w:rPr>
          <w:rFonts w:ascii="Tahoma" w:hAnsi="Tahoma" w:cs="Tahoma"/>
          <w:i/>
          <w:color w:val="000000"/>
          <w:sz w:val="22"/>
          <w:szCs w:val="22"/>
          <w:lang w:val="id-ID"/>
        </w:rPr>
        <w:t>Pertama</w:t>
      </w:r>
      <w:r>
        <w:rPr>
          <w:rFonts w:hint="default" w:ascii="Tahoma" w:hAnsi="Tahoma" w:cs="Tahoma"/>
          <w:i/>
          <w:color w:val="000000"/>
          <w:sz w:val="22"/>
          <w:szCs w:val="22"/>
          <w:lang w:val="en-US"/>
        </w:rPr>
        <w:t xml:space="preserve"> </w:t>
      </w:r>
      <w:r>
        <w:rPr>
          <w:rFonts w:ascii="Tahoma" w:hAnsi="Tahoma" w:cs="Tahoma"/>
          <w:color w:val="000000"/>
          <w:sz w:val="22"/>
          <w:szCs w:val="22"/>
          <w:lang w:val="id-ID"/>
        </w:rPr>
        <w:t xml:space="preserve">: </w:t>
      </w:r>
      <w:r>
        <w:rPr>
          <w:rFonts w:ascii="Tahoma" w:hAnsi="Tahoma" w:cs="Tahoma"/>
          <w:color w:val="000000"/>
          <w:sz w:val="22"/>
          <w:szCs w:val="22"/>
        </w:rPr>
        <w:t>Meningkatnya kualitas pengelolaan keuangan daerah dengan indikator Opini BPK dengan target WTP</w:t>
      </w:r>
      <w:r>
        <w:rPr>
          <w:rFonts w:ascii="Tahoma" w:hAnsi="Tahoma" w:cs="Tahoma"/>
          <w:color w:val="000000"/>
          <w:sz w:val="22"/>
          <w:szCs w:val="22"/>
          <w:lang w:val="id-ID"/>
        </w:rPr>
        <w:t xml:space="preserve">. </w:t>
      </w:r>
      <w:r>
        <w:rPr>
          <w:rFonts w:ascii="Tahoma" w:hAnsi="Tahoma" w:cs="Tahoma"/>
          <w:i/>
          <w:color w:val="000000"/>
          <w:sz w:val="22"/>
          <w:szCs w:val="22"/>
          <w:lang w:val="id-ID"/>
        </w:rPr>
        <w:t>Kedua</w:t>
      </w:r>
      <w:r>
        <w:rPr>
          <w:rFonts w:hint="default" w:ascii="Tahoma" w:hAnsi="Tahoma" w:cs="Tahoma"/>
          <w:i/>
          <w:color w:val="000000"/>
          <w:sz w:val="22"/>
          <w:szCs w:val="22"/>
          <w:lang w:val="en-US"/>
        </w:rPr>
        <w:t xml:space="preserve"> </w:t>
      </w:r>
      <w:r>
        <w:rPr>
          <w:rFonts w:ascii="Tahoma" w:hAnsi="Tahoma" w:cs="Tahoma"/>
          <w:color w:val="000000"/>
          <w:sz w:val="22"/>
          <w:szCs w:val="22"/>
          <w:lang w:val="id-ID"/>
        </w:rPr>
        <w:t xml:space="preserve">: Meningkatnya </w:t>
      </w:r>
      <w:r>
        <w:rPr>
          <w:rFonts w:ascii="Tahoma" w:hAnsi="Tahoma" w:cs="Tahoma"/>
          <w:color w:val="000000"/>
          <w:sz w:val="22"/>
          <w:szCs w:val="22"/>
        </w:rPr>
        <w:t>k</w:t>
      </w:r>
      <w:r>
        <w:rPr>
          <w:rFonts w:ascii="Tahoma" w:hAnsi="Tahoma" w:cs="Tahoma"/>
          <w:color w:val="000000"/>
          <w:sz w:val="22"/>
          <w:szCs w:val="22"/>
          <w:lang w:val="id-ID"/>
        </w:rPr>
        <w:t xml:space="preserve">ualitas APBD </w:t>
      </w:r>
      <w:r>
        <w:rPr>
          <w:rFonts w:ascii="Tahoma" w:hAnsi="Tahoma" w:cs="Tahoma"/>
          <w:color w:val="000000"/>
          <w:sz w:val="22"/>
          <w:szCs w:val="22"/>
        </w:rPr>
        <w:t>K</w:t>
      </w:r>
      <w:r>
        <w:rPr>
          <w:rFonts w:ascii="Tahoma" w:hAnsi="Tahoma" w:cs="Tahoma"/>
          <w:color w:val="000000"/>
          <w:sz w:val="22"/>
          <w:szCs w:val="22"/>
          <w:lang w:val="id-ID"/>
        </w:rPr>
        <w:t xml:space="preserve">abupaten/Kota yang ditandai dengan meningkatnya </w:t>
      </w:r>
      <w:r>
        <w:rPr>
          <w:rFonts w:ascii="Tahoma" w:hAnsi="Tahoma" w:cs="Tahoma"/>
          <w:color w:val="000000"/>
          <w:sz w:val="22"/>
          <w:szCs w:val="22"/>
        </w:rPr>
        <w:t>p</w:t>
      </w:r>
      <w:r>
        <w:rPr>
          <w:rFonts w:ascii="Tahoma" w:hAnsi="Tahoma" w:cs="Tahoma"/>
          <w:color w:val="000000"/>
          <w:sz w:val="22"/>
          <w:szCs w:val="22"/>
          <w:lang w:val="id-ID"/>
        </w:rPr>
        <w:t>ersentase Kab/Kota dengan Opini WTP</w:t>
      </w:r>
      <w:r>
        <w:rPr>
          <w:rFonts w:ascii="Tahoma" w:hAnsi="Tahoma" w:cs="Tahoma"/>
          <w:color w:val="000000"/>
          <w:sz w:val="22"/>
          <w:szCs w:val="22"/>
        </w:rPr>
        <w:t>.</w:t>
      </w:r>
      <w:r>
        <w:rPr>
          <w:rFonts w:hint="default" w:ascii="Tahoma" w:hAnsi="Tahoma" w:cs="Tahoma"/>
          <w:color w:val="000000"/>
          <w:sz w:val="22"/>
          <w:szCs w:val="22"/>
          <w:lang w:val="en-US"/>
        </w:rPr>
        <w:t xml:space="preserve"> </w:t>
      </w:r>
      <w:r>
        <w:rPr>
          <w:rFonts w:ascii="Tahoma" w:hAnsi="Tahoma" w:cs="Tahoma"/>
          <w:i/>
          <w:color w:val="000000"/>
          <w:sz w:val="22"/>
          <w:szCs w:val="22"/>
          <w:lang w:val="id-ID"/>
        </w:rPr>
        <w:t>Ke</w:t>
      </w:r>
      <w:r>
        <w:rPr>
          <w:rFonts w:ascii="Tahoma" w:hAnsi="Tahoma" w:cs="Tahoma"/>
          <w:i/>
          <w:color w:val="000000"/>
          <w:sz w:val="22"/>
          <w:szCs w:val="22"/>
        </w:rPr>
        <w:t>tiga</w:t>
      </w:r>
      <w:r>
        <w:rPr>
          <w:rFonts w:hint="default" w:ascii="Tahoma" w:hAnsi="Tahoma" w:cs="Tahoma"/>
          <w:i/>
          <w:color w:val="000000"/>
          <w:sz w:val="22"/>
          <w:szCs w:val="22"/>
          <w:lang w:val="en-US"/>
        </w:rPr>
        <w:t xml:space="preserve"> </w:t>
      </w:r>
      <w:r>
        <w:rPr>
          <w:rFonts w:ascii="Tahoma" w:hAnsi="Tahoma" w:cs="Tahoma"/>
          <w:color w:val="000000"/>
          <w:sz w:val="22"/>
          <w:szCs w:val="22"/>
          <w:lang w:val="id-ID"/>
        </w:rPr>
        <w:t xml:space="preserve">: </w:t>
      </w:r>
      <w:r>
        <w:rPr>
          <w:rFonts w:ascii="Tahoma" w:hAnsi="Tahoma" w:cs="Tahoma"/>
          <w:color w:val="000000"/>
          <w:sz w:val="22"/>
          <w:szCs w:val="22"/>
        </w:rPr>
        <w:t xml:space="preserve">Meningkatnya Pendapatan Asli Daerah ditandai dengan indikator persentase peningkatan Pendapatan Asli Daerah </w:t>
      </w:r>
      <w:r>
        <w:rPr>
          <w:rFonts w:ascii="Tahoma" w:hAnsi="Tahoma" w:cs="Tahoma"/>
          <w:sz w:val="22"/>
          <w:szCs w:val="22"/>
        </w:rPr>
        <w:t>dengan target -8,47% dengan realisasi -3,31%.</w:t>
      </w:r>
      <w:r>
        <w:rPr>
          <w:rFonts w:hint="default" w:ascii="Tahoma" w:hAnsi="Tahoma" w:cs="Tahoma"/>
          <w:sz w:val="22"/>
          <w:szCs w:val="22"/>
          <w:lang w:val="en-US"/>
        </w:rPr>
        <w:t xml:space="preserve"> </w:t>
      </w:r>
      <w:r>
        <w:rPr>
          <w:rFonts w:ascii="Tahoma" w:hAnsi="Tahoma" w:cs="Tahoma"/>
          <w:i/>
          <w:color w:val="000000"/>
          <w:sz w:val="22"/>
          <w:szCs w:val="22"/>
        </w:rPr>
        <w:t>Keempat</w:t>
      </w:r>
      <w:r>
        <w:rPr>
          <w:rFonts w:hint="default" w:ascii="Tahoma" w:hAnsi="Tahoma" w:cs="Tahoma"/>
          <w:i/>
          <w:color w:val="000000"/>
          <w:sz w:val="22"/>
          <w:szCs w:val="22"/>
          <w:lang w:val="en-US"/>
        </w:rPr>
        <w:t xml:space="preserve"> : </w:t>
      </w:r>
      <w:r>
        <w:rPr>
          <w:rFonts w:ascii="Tahoma" w:hAnsi="Tahoma" w:cs="Tahoma"/>
          <w:color w:val="000000"/>
          <w:sz w:val="22"/>
          <w:szCs w:val="22"/>
          <w:lang w:val="id-ID"/>
        </w:rPr>
        <w:t xml:space="preserve">Meningkatnya kualitas pelayanan publik dengan indikator Indeks Kepuasan masyarakat dengan tingkat kepuasan baik. </w:t>
      </w:r>
      <w:r>
        <w:rPr>
          <w:rFonts w:ascii="Tahoma" w:hAnsi="Tahoma" w:cs="Tahoma"/>
          <w:i/>
          <w:color w:val="000000"/>
          <w:sz w:val="22"/>
          <w:szCs w:val="22"/>
          <w:lang w:val="id-ID"/>
        </w:rPr>
        <w:t>Kelima</w:t>
      </w:r>
      <w:r>
        <w:rPr>
          <w:rFonts w:hint="default" w:ascii="Tahoma" w:hAnsi="Tahoma" w:cs="Tahoma"/>
          <w:i/>
          <w:color w:val="000000"/>
          <w:sz w:val="22"/>
          <w:szCs w:val="22"/>
          <w:lang w:val="en-US"/>
        </w:rPr>
        <w:t xml:space="preserve"> </w:t>
      </w:r>
      <w:r>
        <w:rPr>
          <w:rFonts w:hint="default" w:ascii="Tahoma" w:hAnsi="Tahoma" w:cs="Tahoma"/>
          <w:color w:val="000000"/>
          <w:sz w:val="22"/>
          <w:szCs w:val="22"/>
          <w:lang w:val="en-US"/>
        </w:rPr>
        <w:t>:</w:t>
      </w:r>
      <w:r>
        <w:rPr>
          <w:rFonts w:ascii="Tahoma" w:hAnsi="Tahoma" w:cs="Tahoma"/>
          <w:color w:val="000000"/>
          <w:sz w:val="22"/>
          <w:szCs w:val="22"/>
          <w:lang w:val="id-ID"/>
        </w:rPr>
        <w:t xml:space="preserve"> Meningkatnya tata kelola organisasi dengan indikator kinerja </w:t>
      </w:r>
      <w:r>
        <w:rPr>
          <w:rFonts w:ascii="Tahoma" w:hAnsi="Tahoma" w:cs="Tahoma"/>
          <w:color w:val="000000"/>
          <w:sz w:val="22"/>
          <w:szCs w:val="22"/>
        </w:rPr>
        <w:t xml:space="preserve">Nilai Evaluasi </w:t>
      </w:r>
      <w:r>
        <w:rPr>
          <w:rFonts w:ascii="Tahoma" w:hAnsi="Tahoma" w:cs="Tahoma"/>
          <w:color w:val="000000"/>
          <w:sz w:val="22"/>
          <w:szCs w:val="22"/>
          <w:lang w:val="id-ID"/>
        </w:rPr>
        <w:t xml:space="preserve">Akuntabilitas Kinerja </w:t>
      </w:r>
      <w:r>
        <w:rPr>
          <w:rFonts w:ascii="Tahoma" w:hAnsi="Tahoma" w:cs="Tahoma"/>
          <w:color w:val="000000"/>
          <w:sz w:val="22"/>
          <w:szCs w:val="22"/>
        </w:rPr>
        <w:t>bernilai A.</w:t>
      </w:r>
    </w:p>
    <w:p>
      <w:pPr>
        <w:pStyle w:val="10"/>
        <w:spacing w:after="120"/>
        <w:ind w:firstLine="0"/>
        <w:rPr>
          <w:rFonts w:ascii="Tahoma" w:hAnsi="Tahoma" w:cs="Tahoma"/>
          <w:color w:val="000000"/>
          <w:sz w:val="22"/>
          <w:szCs w:val="22"/>
          <w:lang w:val="id-ID"/>
        </w:rPr>
      </w:pPr>
      <w:r>
        <w:rPr>
          <w:rFonts w:ascii="Tahoma" w:hAnsi="Tahoma" w:cs="Tahoma"/>
          <w:color w:val="000000"/>
          <w:sz w:val="22"/>
          <w:szCs w:val="22"/>
          <w:lang w:val="id-ID"/>
        </w:rPr>
        <w:t xml:space="preserve">Program dan kegiatan </w:t>
      </w:r>
      <w:r>
        <w:rPr>
          <w:rFonts w:ascii="Tahoma" w:hAnsi="Tahoma" w:cs="Tahoma"/>
          <w:color w:val="000000"/>
          <w:sz w:val="22"/>
          <w:szCs w:val="22"/>
        </w:rPr>
        <w:t>Badan Keuangan Daerah</w:t>
      </w:r>
      <w:r>
        <w:rPr>
          <w:rFonts w:ascii="Tahoma" w:hAnsi="Tahoma" w:cs="Tahoma"/>
          <w:color w:val="000000"/>
          <w:sz w:val="22"/>
          <w:szCs w:val="22"/>
          <w:lang w:val="id-ID"/>
        </w:rPr>
        <w:t xml:space="preserve"> Tahun 20</w:t>
      </w:r>
      <w:r>
        <w:rPr>
          <w:rFonts w:ascii="Tahoma" w:hAnsi="Tahoma" w:cs="Tahoma"/>
          <w:color w:val="000000"/>
          <w:sz w:val="22"/>
          <w:szCs w:val="22"/>
        </w:rPr>
        <w:t>20</w:t>
      </w:r>
      <w:r>
        <w:rPr>
          <w:rFonts w:ascii="Tahoma" w:hAnsi="Tahoma" w:cs="Tahoma"/>
          <w:color w:val="000000"/>
          <w:sz w:val="22"/>
          <w:szCs w:val="22"/>
          <w:lang w:val="id-ID"/>
        </w:rPr>
        <w:t xml:space="preserve"> ini merupakan upaya untuk mewujudkan tercapainya tujuan dan sasaran, visi dan misi seperti yang tertuang dalam Renstra </w:t>
      </w:r>
      <w:r>
        <w:rPr>
          <w:rFonts w:ascii="Tahoma" w:hAnsi="Tahoma" w:cs="Tahoma"/>
          <w:color w:val="000000"/>
          <w:sz w:val="22"/>
          <w:szCs w:val="22"/>
        </w:rPr>
        <w:t>Badan Keuangan Daerah</w:t>
      </w:r>
      <w:r>
        <w:rPr>
          <w:rFonts w:ascii="Tahoma" w:hAnsi="Tahoma" w:cs="Tahoma"/>
          <w:color w:val="000000"/>
          <w:sz w:val="22"/>
          <w:szCs w:val="22"/>
          <w:lang w:val="id-ID"/>
        </w:rPr>
        <w:t xml:space="preserve"> Tahun 2016</w:t>
      </w:r>
      <w:r>
        <w:rPr>
          <w:rFonts w:hint="default" w:ascii="Tahoma" w:hAnsi="Tahoma" w:cs="Tahoma"/>
          <w:color w:val="000000"/>
          <w:sz w:val="22"/>
          <w:szCs w:val="22"/>
          <w:lang w:val="en-US"/>
        </w:rPr>
        <w:t>-</w:t>
      </w:r>
      <w:r>
        <w:rPr>
          <w:rFonts w:ascii="Tahoma" w:hAnsi="Tahoma" w:cs="Tahoma"/>
          <w:color w:val="000000"/>
          <w:sz w:val="22"/>
          <w:szCs w:val="22"/>
          <w:lang w:val="id-ID"/>
        </w:rPr>
        <w:t xml:space="preserve">2021 dan Renja </w:t>
      </w:r>
      <w:r>
        <w:rPr>
          <w:rFonts w:ascii="Tahoma" w:hAnsi="Tahoma" w:cs="Tahoma"/>
          <w:color w:val="000000"/>
          <w:sz w:val="22"/>
          <w:szCs w:val="22"/>
        </w:rPr>
        <w:t>Badan Keuangan Daerah</w:t>
      </w:r>
      <w:r>
        <w:rPr>
          <w:rFonts w:ascii="Tahoma" w:hAnsi="Tahoma" w:cs="Tahoma"/>
          <w:color w:val="000000"/>
          <w:sz w:val="22"/>
          <w:szCs w:val="22"/>
          <w:lang w:val="id-ID"/>
        </w:rPr>
        <w:t xml:space="preserve">, serta dalam rangka </w:t>
      </w:r>
      <w:r>
        <w:rPr>
          <w:rFonts w:ascii="Tahoma" w:hAnsi="Tahoma" w:cs="Tahoma"/>
          <w:color w:val="000000"/>
          <w:sz w:val="22"/>
          <w:szCs w:val="22"/>
        </w:rPr>
        <w:t>m</w:t>
      </w:r>
      <w:r>
        <w:rPr>
          <w:rFonts w:ascii="Tahoma" w:hAnsi="Tahoma" w:cs="Tahoma"/>
          <w:color w:val="000000"/>
          <w:sz w:val="22"/>
          <w:szCs w:val="22"/>
          <w:lang w:val="id-ID"/>
        </w:rPr>
        <w:t xml:space="preserve">enjawab isu-isu aktual dalam penyelenggaraan pemerintahan daerah. Isu-isu tersebut antara lain:  reformasi birokrasi, sistem pengendalian intern pemerintahan, standar pelayanan minimal, sistem operasional prosedur, teknologi informasi, manajemen kinerja, pemberantasan korupsi, pelayanan publik, manajemen sumber daya manusia berbasis kompetensi, serta </w:t>
      </w:r>
      <w:r>
        <w:rPr>
          <w:rFonts w:ascii="Tahoma" w:hAnsi="Tahoma" w:cs="Tahoma"/>
          <w:color w:val="000000"/>
          <w:sz w:val="22"/>
          <w:szCs w:val="22"/>
        </w:rPr>
        <w:t>d</w:t>
      </w:r>
      <w:r>
        <w:rPr>
          <w:rFonts w:ascii="Tahoma" w:hAnsi="Tahoma" w:cs="Tahoma"/>
          <w:color w:val="000000"/>
          <w:sz w:val="22"/>
          <w:szCs w:val="22"/>
          <w:lang w:val="id-ID"/>
        </w:rPr>
        <w:t>iklat aparatur pengelola keuangan berbasis kompetensi.</w:t>
      </w:r>
    </w:p>
    <w:p>
      <w:pPr>
        <w:pStyle w:val="10"/>
        <w:spacing w:after="120"/>
        <w:ind w:firstLine="0"/>
        <w:rPr>
          <w:rFonts w:ascii="Tahoma" w:hAnsi="Tahoma" w:cs="Tahoma"/>
          <w:color w:val="000000"/>
          <w:sz w:val="22"/>
          <w:szCs w:val="22"/>
        </w:rPr>
      </w:pPr>
      <w:r>
        <w:rPr>
          <w:rFonts w:ascii="Tahoma" w:hAnsi="Tahoma" w:cs="Tahoma"/>
          <w:color w:val="000000"/>
          <w:sz w:val="22"/>
          <w:szCs w:val="22"/>
          <w:lang w:val="id-ID"/>
        </w:rPr>
        <w:t xml:space="preserve">Berdasarkan uraian </w:t>
      </w:r>
      <w:r>
        <w:rPr>
          <w:rFonts w:ascii="Tahoma" w:hAnsi="Tahoma" w:cs="Tahoma"/>
          <w:color w:val="000000"/>
          <w:sz w:val="22"/>
          <w:szCs w:val="22"/>
        </w:rPr>
        <w:t>Laporan Kinerja Badan Keuangan Daerah Tahun 2020</w:t>
      </w:r>
      <w:r>
        <w:rPr>
          <w:rFonts w:ascii="Tahoma" w:hAnsi="Tahoma" w:cs="Tahoma"/>
          <w:color w:val="000000"/>
          <w:sz w:val="22"/>
          <w:szCs w:val="22"/>
          <w:lang w:val="id-ID"/>
        </w:rPr>
        <w:t>, dapat disimpulkan hal-hal sebagai berikut</w:t>
      </w:r>
      <w:r>
        <w:rPr>
          <w:rFonts w:ascii="Tahoma" w:hAnsi="Tahoma" w:cs="Tahoma"/>
          <w:color w:val="000000"/>
          <w:sz w:val="22"/>
          <w:szCs w:val="22"/>
        </w:rPr>
        <w:t xml:space="preserve">: </w:t>
      </w:r>
    </w:p>
    <w:p>
      <w:pPr>
        <w:numPr>
          <w:ilvl w:val="0"/>
          <w:numId w:val="6"/>
        </w:numPr>
        <w:tabs>
          <w:tab w:val="clear" w:pos="360"/>
        </w:tabs>
        <w:spacing w:before="180" w:after="0" w:line="360" w:lineRule="auto"/>
        <w:ind w:left="440" w:hanging="440"/>
        <w:jc w:val="both"/>
        <w:rPr>
          <w:rFonts w:ascii="Tahoma" w:hAnsi="Tahoma" w:cs="Tahoma"/>
          <w:bCs/>
          <w:lang w:val="id-ID"/>
        </w:rPr>
      </w:pPr>
      <w:r>
        <w:rPr>
          <w:rFonts w:ascii="Tahoma" w:hAnsi="Tahoma" w:cs="Tahoma"/>
          <w:lang w:val="id-ID"/>
        </w:rPr>
        <w:t xml:space="preserve">Capaian kinerja sasaran </w:t>
      </w:r>
      <w:r>
        <w:rPr>
          <w:rFonts w:ascii="Tahoma" w:hAnsi="Tahoma" w:cs="Tahoma"/>
        </w:rPr>
        <w:t xml:space="preserve">secara fisik </w:t>
      </w:r>
      <w:r>
        <w:rPr>
          <w:rFonts w:ascii="Tahoma" w:hAnsi="Tahoma" w:cs="Tahoma"/>
          <w:lang w:val="id-ID"/>
        </w:rPr>
        <w:t>rata-rata sebesar 100%</w:t>
      </w:r>
      <w:r>
        <w:rPr>
          <w:rFonts w:ascii="Tahoma" w:hAnsi="Tahoma" w:cs="Tahoma"/>
        </w:rPr>
        <w:t xml:space="preserve"> untuk semua capaian program yang telah dilaksanakan yaitu 1)</w:t>
      </w:r>
      <w:r>
        <w:rPr>
          <w:rFonts w:ascii="Tahoma" w:hAnsi="Tahoma" w:cs="Tahoma"/>
          <w:lang w:val="id-ID"/>
        </w:rPr>
        <w:t xml:space="preserve"> Program Pelayanan Administrasi Perkantoran; </w:t>
      </w:r>
      <w:r>
        <w:rPr>
          <w:rFonts w:ascii="Tahoma" w:hAnsi="Tahoma" w:cs="Tahoma"/>
        </w:rPr>
        <w:t>2)</w:t>
      </w:r>
      <w:r>
        <w:rPr>
          <w:rFonts w:ascii="Tahoma" w:hAnsi="Tahoma" w:cs="Tahoma"/>
          <w:lang w:val="id-ID"/>
        </w:rPr>
        <w:t xml:space="preserve"> Program Peningkatan Sarana dan Prasarana Aparatur;  3) Program Peningkatan Disiplin Aparatur; 4) Program Peningkatan Kapasitas Sumber Daya Aparatur; 5) Program Peningkatan Pengembangan Sistem Pelaporan Capaian Kinerja dan Keuangan; 6) Program Peningkatan Kualitas Pengelolaan Keuangan Daerah; 7) Program Pembinaan dan Fasilitasi Pengelolaan Keuangan Kab/Kota; 8) Program Peningkatan Pendapatan Daerah; </w:t>
      </w:r>
      <w:r>
        <w:rPr>
          <w:rFonts w:ascii="Tahoma" w:hAnsi="Tahoma" w:cs="Tahoma"/>
        </w:rPr>
        <w:t xml:space="preserve">dan </w:t>
      </w:r>
      <w:r>
        <w:rPr>
          <w:rFonts w:ascii="Tahoma" w:hAnsi="Tahoma" w:cs="Tahoma"/>
          <w:lang w:val="id-ID"/>
        </w:rPr>
        <w:t>9) Program Pening</w:t>
      </w:r>
      <w:r>
        <w:rPr>
          <w:rFonts w:ascii="Tahoma" w:hAnsi="Tahoma" w:cs="Tahoma"/>
        </w:rPr>
        <w:t>ka</w:t>
      </w:r>
      <w:r>
        <w:rPr>
          <w:rFonts w:ascii="Tahoma" w:hAnsi="Tahoma" w:cs="Tahoma"/>
          <w:lang w:val="id-ID"/>
        </w:rPr>
        <w:t xml:space="preserve">tan Pelayanan Publik; </w:t>
      </w:r>
    </w:p>
    <w:p>
      <w:pPr>
        <w:numPr>
          <w:ilvl w:val="0"/>
          <w:numId w:val="6"/>
        </w:numPr>
        <w:tabs>
          <w:tab w:val="clear" w:pos="360"/>
        </w:tabs>
        <w:autoSpaceDE w:val="0"/>
        <w:autoSpaceDN w:val="0"/>
        <w:adjustRightInd w:val="0"/>
        <w:spacing w:before="120" w:after="120" w:line="360" w:lineRule="auto"/>
        <w:ind w:left="440" w:hanging="440"/>
        <w:jc w:val="both"/>
        <w:rPr>
          <w:rFonts w:ascii="Tahoma" w:hAnsi="Tahoma" w:cs="Tahoma"/>
          <w:color w:val="000000"/>
          <w:lang w:val="id-ID"/>
        </w:rPr>
      </w:pPr>
      <w:r>
        <w:rPr>
          <w:rFonts w:ascii="Tahoma" w:hAnsi="Tahoma" w:cs="Tahoma"/>
          <w:color w:val="000000"/>
          <w:lang w:val="id-ID"/>
        </w:rPr>
        <w:t xml:space="preserve">Adapun pencapaian kinerja input/penyerapan anggaran </w:t>
      </w:r>
      <w:r>
        <w:rPr>
          <w:rFonts w:ascii="Tahoma" w:hAnsi="Tahoma" w:cs="Tahoma"/>
          <w:color w:val="000000"/>
        </w:rPr>
        <w:t>Badan Keuangan Daerah</w:t>
      </w:r>
      <w:r>
        <w:rPr>
          <w:rFonts w:ascii="Tahoma" w:hAnsi="Tahoma" w:cs="Tahoma"/>
          <w:color w:val="000000"/>
          <w:lang w:val="id-ID"/>
        </w:rPr>
        <w:t xml:space="preserve"> Tahun 20</w:t>
      </w:r>
      <w:r>
        <w:rPr>
          <w:rFonts w:ascii="Tahoma" w:hAnsi="Tahoma" w:cs="Tahoma"/>
          <w:color w:val="000000"/>
        </w:rPr>
        <w:t xml:space="preserve">20 </w:t>
      </w:r>
      <w:r>
        <w:rPr>
          <w:rFonts w:ascii="Tahoma" w:hAnsi="Tahoma" w:cs="Tahoma"/>
          <w:color w:val="000000"/>
          <w:lang w:val="id-ID"/>
        </w:rPr>
        <w:t xml:space="preserve">terhadap Belanja Langsung adalah sebesar </w:t>
      </w:r>
      <w:r>
        <w:rPr>
          <w:rFonts w:ascii="Tahoma" w:hAnsi="Tahoma" w:cs="Tahoma"/>
        </w:rPr>
        <w:t>92,39</w:t>
      </w:r>
      <w:r>
        <w:rPr>
          <w:rFonts w:ascii="Tahoma" w:hAnsi="Tahoma" w:cs="Tahoma"/>
          <w:lang w:val="id-ID"/>
        </w:rPr>
        <w:t>%</w:t>
      </w:r>
      <w:r>
        <w:rPr>
          <w:rFonts w:ascii="Tahoma" w:hAnsi="Tahoma" w:cs="Tahoma"/>
          <w:color w:val="000000"/>
          <w:lang w:val="id-ID"/>
        </w:rPr>
        <w:t xml:space="preserve"> dari total pagu anggaran sebesar  Rp. </w:t>
      </w:r>
      <w:r>
        <w:rPr>
          <w:rFonts w:ascii="Tahoma" w:hAnsi="Tahoma" w:cs="Tahoma"/>
          <w:bCs/>
        </w:rPr>
        <w:t>30.77.113.335</w:t>
      </w:r>
      <w:r>
        <w:rPr>
          <w:rFonts w:ascii="Tahoma" w:hAnsi="Tahoma" w:cs="Tahoma"/>
          <w:bCs/>
          <w:lang w:val="id-ID"/>
        </w:rPr>
        <w:t>,-</w:t>
      </w:r>
      <w:r>
        <w:rPr>
          <w:rFonts w:ascii="Tahoma" w:hAnsi="Tahoma" w:cs="Tahoma"/>
          <w:bCs/>
          <w:color w:val="000000"/>
          <w:lang w:val="id-ID"/>
        </w:rPr>
        <w:t xml:space="preserve">. Capaian kinerja input tertinggi </w:t>
      </w:r>
      <w:r>
        <w:rPr>
          <w:rFonts w:ascii="Tahoma" w:hAnsi="Tahoma" w:cs="Tahoma"/>
          <w:bCs/>
          <w:color w:val="000000"/>
        </w:rPr>
        <w:t xml:space="preserve">Belanja Langsung Urusan </w:t>
      </w:r>
      <w:r>
        <w:rPr>
          <w:rFonts w:ascii="Tahoma" w:hAnsi="Tahoma" w:cs="Tahoma"/>
          <w:bCs/>
          <w:color w:val="000000"/>
          <w:lang w:val="id-ID"/>
        </w:rPr>
        <w:t xml:space="preserve">terdapat pada </w:t>
      </w:r>
      <w:r>
        <w:rPr>
          <w:rFonts w:ascii="Tahoma" w:hAnsi="Tahoma" w:cs="Tahoma"/>
          <w:bCs/>
          <w:color w:val="000000"/>
        </w:rPr>
        <w:t xml:space="preserve">Program </w:t>
      </w:r>
      <w:r>
        <w:rPr>
          <w:rFonts w:ascii="Tahoma" w:hAnsi="Tahoma" w:cs="Tahoma"/>
          <w:lang w:val="id-ID"/>
        </w:rPr>
        <w:t xml:space="preserve">Pembinaan </w:t>
      </w:r>
      <w:r>
        <w:rPr>
          <w:rFonts w:ascii="Tahoma" w:hAnsi="Tahoma" w:cs="Tahoma"/>
        </w:rPr>
        <w:t>d</w:t>
      </w:r>
      <w:r>
        <w:rPr>
          <w:rFonts w:ascii="Tahoma" w:hAnsi="Tahoma" w:cs="Tahoma"/>
          <w:lang w:val="id-ID"/>
        </w:rPr>
        <w:t xml:space="preserve">an Fasiltasi Pengelolaan Keuangan Kabupaten/Kota sebesar </w:t>
      </w:r>
      <w:r>
        <w:rPr>
          <w:rFonts w:ascii="Tahoma" w:hAnsi="Tahoma" w:cs="Tahoma"/>
        </w:rPr>
        <w:t>96,21</w:t>
      </w:r>
      <w:r>
        <w:rPr>
          <w:rFonts w:ascii="Tahoma" w:hAnsi="Tahoma" w:cs="Tahoma"/>
          <w:lang w:val="id-ID"/>
        </w:rPr>
        <w:t xml:space="preserve">% dan diikuti dengan </w:t>
      </w:r>
      <w:r>
        <w:rPr>
          <w:rFonts w:ascii="Tahoma" w:hAnsi="Tahoma" w:cs="Tahoma"/>
        </w:rPr>
        <w:t>P</w:t>
      </w:r>
      <w:r>
        <w:rPr>
          <w:rFonts w:ascii="Tahoma" w:hAnsi="Tahoma" w:cs="Tahoma"/>
          <w:lang w:val="id-ID"/>
        </w:rPr>
        <w:t>rogram Peningkatan Pelayanan Publik 9</w:t>
      </w:r>
      <w:r>
        <w:rPr>
          <w:rFonts w:ascii="Tahoma" w:hAnsi="Tahoma" w:cs="Tahoma"/>
        </w:rPr>
        <w:t>1,90</w:t>
      </w:r>
      <w:r>
        <w:rPr>
          <w:rFonts w:ascii="Tahoma" w:hAnsi="Tahoma" w:cs="Tahoma"/>
          <w:lang w:val="id-ID"/>
        </w:rPr>
        <w:t>%</w:t>
      </w:r>
      <w:r>
        <w:rPr>
          <w:rFonts w:ascii="Tahoma" w:hAnsi="Tahoma" w:cs="Tahoma"/>
        </w:rPr>
        <w:t>,</w:t>
      </w:r>
      <w:r>
        <w:rPr>
          <w:rFonts w:hint="default" w:ascii="Tahoma" w:hAnsi="Tahoma" w:cs="Tahoma"/>
          <w:lang w:val="en-US"/>
        </w:rPr>
        <w:t xml:space="preserve"> </w:t>
      </w:r>
      <w:r>
        <w:rPr>
          <w:rFonts w:ascii="Tahoma" w:hAnsi="Tahoma" w:cs="Tahoma"/>
        </w:rPr>
        <w:t>lalu</w:t>
      </w:r>
      <w:r>
        <w:rPr>
          <w:rFonts w:ascii="Tahoma" w:hAnsi="Tahoma" w:cs="Tahoma"/>
          <w:lang w:val="id-ID"/>
        </w:rPr>
        <w:t xml:space="preserve"> Program Peningkatan Kualitas Pengelolaan Keuangan </w:t>
      </w:r>
      <w:r>
        <w:rPr>
          <w:rFonts w:ascii="Tahoma" w:hAnsi="Tahoma" w:cs="Tahoma"/>
        </w:rPr>
        <w:t>90,78</w:t>
      </w:r>
      <w:r>
        <w:rPr>
          <w:rFonts w:ascii="Tahoma" w:hAnsi="Tahoma" w:cs="Tahoma"/>
          <w:lang w:val="id-ID"/>
        </w:rPr>
        <w:t>%</w:t>
      </w:r>
      <w:r>
        <w:rPr>
          <w:rFonts w:ascii="Tahoma" w:hAnsi="Tahoma" w:cs="Tahoma"/>
        </w:rPr>
        <w:t xml:space="preserve"> dan yang terendah </w:t>
      </w:r>
      <w:r>
        <w:rPr>
          <w:rFonts w:ascii="Tahoma" w:hAnsi="Tahoma" w:cs="Tahoma"/>
          <w:lang w:val="id-ID"/>
        </w:rPr>
        <w:t xml:space="preserve">Program Peningkatan Pendapatan Daerah </w:t>
      </w:r>
      <w:r>
        <w:rPr>
          <w:rFonts w:ascii="Tahoma" w:hAnsi="Tahoma" w:cs="Tahoma"/>
        </w:rPr>
        <w:t>89,45</w:t>
      </w:r>
      <w:r>
        <w:rPr>
          <w:rFonts w:ascii="Tahoma" w:hAnsi="Tahoma" w:cs="Tahoma"/>
          <w:lang w:val="id-ID"/>
        </w:rPr>
        <w:t>%</w:t>
      </w:r>
      <w:r>
        <w:rPr>
          <w:rFonts w:ascii="Tahoma" w:hAnsi="Tahoma" w:cs="Tahoma"/>
        </w:rPr>
        <w:t>.</w:t>
      </w:r>
    </w:p>
    <w:p>
      <w:pPr>
        <w:numPr>
          <w:ilvl w:val="0"/>
          <w:numId w:val="6"/>
        </w:numPr>
        <w:tabs>
          <w:tab w:val="clear" w:pos="360"/>
        </w:tabs>
        <w:spacing w:after="0" w:line="360" w:lineRule="auto"/>
        <w:ind w:left="442" w:hanging="442"/>
        <w:jc w:val="both"/>
        <w:rPr>
          <w:rFonts w:ascii="Tahoma" w:hAnsi="Tahoma" w:cs="Tahoma"/>
          <w:lang w:val="id-ID"/>
        </w:rPr>
      </w:pPr>
      <w:r>
        <w:rPr>
          <w:rFonts w:ascii="Tahoma" w:hAnsi="Tahoma" w:cs="Tahoma"/>
          <w:lang w:val="id-ID"/>
        </w:rPr>
        <w:t>Pelaksanaan Program dan Kegiatan sebagaimana poin</w:t>
      </w:r>
      <w:r>
        <w:rPr>
          <w:rFonts w:ascii="Tahoma" w:hAnsi="Tahoma" w:cs="Tahoma"/>
        </w:rPr>
        <w:t>t</w:t>
      </w:r>
      <w:r>
        <w:rPr>
          <w:rFonts w:ascii="Tahoma" w:hAnsi="Tahoma" w:cs="Tahoma"/>
          <w:lang w:val="id-ID"/>
        </w:rPr>
        <w:t xml:space="preserve"> diatas telah memberikan konstribusi terhadapat pencapaian Indikator Kinerja Sasaran dengan perinician sebagai berikut :</w:t>
      </w:r>
    </w:p>
    <w:p>
      <w:pPr>
        <w:numPr>
          <w:ilvl w:val="0"/>
          <w:numId w:val="7"/>
        </w:numPr>
        <w:spacing w:after="0" w:line="360" w:lineRule="auto"/>
        <w:ind w:left="880" w:leftChars="200" w:hanging="440" w:hangingChars="200"/>
        <w:jc w:val="both"/>
        <w:rPr>
          <w:rFonts w:ascii="Tahoma" w:hAnsi="Tahoma" w:cs="Tahoma"/>
          <w:lang w:val="id-ID"/>
        </w:rPr>
      </w:pPr>
      <w:r>
        <w:rPr>
          <w:rFonts w:ascii="Tahoma" w:hAnsi="Tahoma" w:cs="Tahoma"/>
          <w:lang w:val="id-ID"/>
        </w:rPr>
        <w:t xml:space="preserve">Realisasi Opini BPK </w:t>
      </w:r>
      <w:r>
        <w:rPr>
          <w:rFonts w:ascii="Tahoma" w:hAnsi="Tahoma" w:cs="Tahoma"/>
        </w:rPr>
        <w:t>yang digunakan adalah realisasi kinerja tahun sebelumnya, sebab opini tersebut penilaiannya dilakukan pada waktu tahun anggaran pengukuran kinerja ini dengan target</w:t>
      </w:r>
      <w:r>
        <w:rPr>
          <w:rFonts w:ascii="Tahoma" w:hAnsi="Tahoma" w:cs="Tahoma"/>
          <w:lang w:val="id-ID"/>
        </w:rPr>
        <w:t xml:space="preserve"> WTP. Sesuai dengan target yang telah ditentukan juga WTP dengan capaian kinerja sebesar 100%.</w:t>
      </w:r>
    </w:p>
    <w:p>
      <w:pPr>
        <w:numPr>
          <w:ilvl w:val="0"/>
          <w:numId w:val="7"/>
        </w:numPr>
        <w:spacing w:after="0" w:line="360" w:lineRule="auto"/>
        <w:ind w:left="880" w:leftChars="200" w:hanging="440" w:hangingChars="200"/>
        <w:jc w:val="both"/>
        <w:rPr>
          <w:rFonts w:ascii="Tahoma" w:hAnsi="Tahoma" w:cs="Tahoma"/>
          <w:lang w:val="id-ID"/>
        </w:rPr>
      </w:pPr>
      <w:r>
        <w:rPr>
          <w:rFonts w:ascii="Tahoma" w:hAnsi="Tahoma" w:cs="Tahoma"/>
          <w:lang w:val="id-ID"/>
        </w:rPr>
        <w:t xml:space="preserve">Persentase Kab/Kota dengan Opini WTP ditargetkan </w:t>
      </w:r>
      <w:r>
        <w:rPr>
          <w:rFonts w:ascii="Tahoma" w:hAnsi="Tahoma" w:cs="Tahoma"/>
        </w:rPr>
        <w:t>100</w:t>
      </w:r>
      <w:r>
        <w:rPr>
          <w:rFonts w:ascii="Tahoma" w:hAnsi="Tahoma" w:cs="Tahoma"/>
          <w:lang w:val="id-ID"/>
        </w:rPr>
        <w:t xml:space="preserve">% dan terealisasi </w:t>
      </w:r>
      <w:r>
        <w:rPr>
          <w:rFonts w:ascii="Tahoma" w:hAnsi="Tahoma" w:cs="Tahoma"/>
        </w:rPr>
        <w:t>100</w:t>
      </w:r>
      <w:r>
        <w:rPr>
          <w:rFonts w:ascii="Tahoma" w:hAnsi="Tahoma" w:cs="Tahoma"/>
          <w:lang w:val="id-ID"/>
        </w:rPr>
        <w:t xml:space="preserve">% </w:t>
      </w:r>
      <w:r>
        <w:rPr>
          <w:rFonts w:ascii="Tahoma" w:hAnsi="Tahoma" w:cs="Tahoma"/>
        </w:rPr>
        <w:t xml:space="preserve">Sama dengan Opini BPK untuk Provinsi, Opini Kab/Kota ini penilaiannya dilakukan pada waktu tahun anggaran pengukuran kinerja ini dengan target WTP. </w:t>
      </w:r>
    </w:p>
    <w:p>
      <w:pPr>
        <w:numPr>
          <w:ilvl w:val="0"/>
          <w:numId w:val="7"/>
        </w:numPr>
        <w:spacing w:after="0" w:line="360" w:lineRule="auto"/>
        <w:ind w:left="880" w:leftChars="200" w:hanging="440" w:hangingChars="200"/>
        <w:jc w:val="both"/>
        <w:rPr>
          <w:rFonts w:ascii="Tahoma" w:hAnsi="Tahoma" w:cs="Tahoma"/>
          <w:lang w:val="id-ID"/>
        </w:rPr>
      </w:pPr>
      <w:r>
        <w:rPr>
          <w:rFonts w:ascii="Tahoma" w:hAnsi="Tahoma" w:cs="Tahoma"/>
          <w:lang w:val="id-ID"/>
        </w:rPr>
        <w:t xml:space="preserve">Terealisasinya Persentase Peningkatan Pendapatan Asli Daerah sebesar </w:t>
      </w:r>
      <w:r>
        <w:rPr>
          <w:rFonts w:ascii="Tahoma" w:hAnsi="Tahoma" w:cs="Tahoma"/>
        </w:rPr>
        <w:t>-3,31%</w:t>
      </w:r>
      <w:r>
        <w:rPr>
          <w:rFonts w:ascii="Tahoma" w:hAnsi="Tahoma" w:cs="Tahoma"/>
          <w:lang w:val="id-ID"/>
        </w:rPr>
        <w:t xml:space="preserve"> dari target semula sebesar </w:t>
      </w:r>
      <w:r>
        <w:rPr>
          <w:rFonts w:ascii="Tahoma" w:hAnsi="Tahoma" w:cs="Tahoma"/>
        </w:rPr>
        <w:t>-8,47</w:t>
      </w:r>
      <w:r>
        <w:rPr>
          <w:rFonts w:ascii="Tahoma" w:hAnsi="Tahoma" w:cs="Tahoma"/>
          <w:lang w:val="id-ID"/>
        </w:rPr>
        <w:t>%</w:t>
      </w:r>
      <w:r>
        <w:rPr>
          <w:rFonts w:ascii="Tahoma" w:hAnsi="Tahoma" w:cs="Tahoma"/>
        </w:rPr>
        <w:t>.</w:t>
      </w:r>
    </w:p>
    <w:p>
      <w:pPr>
        <w:numPr>
          <w:ilvl w:val="0"/>
          <w:numId w:val="7"/>
        </w:numPr>
        <w:spacing w:after="0" w:line="360" w:lineRule="auto"/>
        <w:ind w:left="880" w:leftChars="200" w:hanging="440" w:hangingChars="200"/>
        <w:jc w:val="both"/>
        <w:rPr>
          <w:rFonts w:ascii="Tahoma" w:hAnsi="Tahoma" w:cs="Tahoma"/>
          <w:lang w:val="id-ID"/>
        </w:rPr>
      </w:pPr>
      <w:r>
        <w:rPr>
          <w:rFonts w:ascii="Tahoma" w:hAnsi="Tahoma" w:cs="Tahoma"/>
          <w:lang w:val="id-ID"/>
        </w:rPr>
        <w:t>Angka Indeks Kepuasan Masyarakat pada tahun 20</w:t>
      </w:r>
      <w:r>
        <w:rPr>
          <w:rFonts w:ascii="Tahoma" w:hAnsi="Tahoma" w:cs="Tahoma"/>
        </w:rPr>
        <w:t>20</w:t>
      </w:r>
      <w:r>
        <w:rPr>
          <w:rFonts w:ascii="Tahoma" w:hAnsi="Tahoma" w:cs="Tahoma"/>
          <w:lang w:val="id-ID"/>
        </w:rPr>
        <w:t xml:space="preserve"> ini direalisasikan dengan nilai BAIK, ini ses</w:t>
      </w:r>
      <w:r>
        <w:rPr>
          <w:rFonts w:ascii="Tahoma" w:hAnsi="Tahoma" w:cs="Tahoma"/>
        </w:rPr>
        <w:t>uai</w:t>
      </w:r>
      <w:r>
        <w:rPr>
          <w:rFonts w:ascii="Tahoma" w:hAnsi="Tahoma" w:cs="Tahoma"/>
          <w:lang w:val="id-ID"/>
        </w:rPr>
        <w:t xml:space="preserve"> dengan target yang telah ditetapkan yaitu juga bernilai BAIK. Oleh karena itu capaian targetnya adalah seb</w:t>
      </w:r>
      <w:r>
        <w:rPr>
          <w:rFonts w:ascii="Tahoma" w:hAnsi="Tahoma" w:cs="Tahoma"/>
        </w:rPr>
        <w:t>e</w:t>
      </w:r>
      <w:r>
        <w:rPr>
          <w:rFonts w:ascii="Tahoma" w:hAnsi="Tahoma" w:cs="Tahoma"/>
          <w:lang w:val="id-ID"/>
        </w:rPr>
        <w:t>sar 100%.</w:t>
      </w:r>
    </w:p>
    <w:p>
      <w:pPr>
        <w:numPr>
          <w:ilvl w:val="0"/>
          <w:numId w:val="7"/>
        </w:numPr>
        <w:spacing w:after="0" w:line="360" w:lineRule="auto"/>
        <w:ind w:left="880" w:leftChars="200" w:hanging="440" w:hangingChars="200"/>
        <w:jc w:val="both"/>
        <w:rPr>
          <w:rFonts w:ascii="Tahoma" w:hAnsi="Tahoma" w:cs="Tahoma"/>
          <w:lang w:val="id-ID"/>
        </w:rPr>
      </w:pPr>
      <w:r>
        <w:rPr>
          <w:rFonts w:ascii="Tahoma" w:hAnsi="Tahoma" w:cs="Tahoma"/>
          <w:lang w:val="id-ID"/>
        </w:rPr>
        <w:t xml:space="preserve">Nilai Akuntabilitas Kinerja ditargetkan </w:t>
      </w:r>
      <w:r>
        <w:rPr>
          <w:rFonts w:ascii="Tahoma" w:hAnsi="Tahoma" w:cs="Tahoma"/>
        </w:rPr>
        <w:t>A</w:t>
      </w:r>
      <w:r>
        <w:rPr>
          <w:rFonts w:ascii="Tahoma" w:hAnsi="Tahoma" w:cs="Tahoma"/>
          <w:lang w:val="id-ID"/>
        </w:rPr>
        <w:t xml:space="preserve"> dan </w:t>
      </w:r>
      <w:r>
        <w:rPr>
          <w:rFonts w:ascii="Tahoma" w:hAnsi="Tahoma" w:cs="Tahoma"/>
        </w:rPr>
        <w:t>t</w:t>
      </w:r>
      <w:r>
        <w:rPr>
          <w:rFonts w:ascii="Tahoma" w:hAnsi="Tahoma" w:cs="Tahoma"/>
          <w:lang w:val="id-ID"/>
        </w:rPr>
        <w:t xml:space="preserve">erealisasi dengan Nilai </w:t>
      </w:r>
      <w:r>
        <w:rPr>
          <w:rFonts w:ascii="Tahoma" w:hAnsi="Tahoma" w:cs="Tahoma"/>
        </w:rPr>
        <w:t>A.</w:t>
      </w:r>
      <w:r>
        <w:rPr>
          <w:rFonts w:ascii="Tahoma" w:hAnsi="Tahoma" w:cs="Tahoma"/>
          <w:lang w:val="id-ID"/>
        </w:rPr>
        <w:t xml:space="preserve"> Nilai ini di dapat berdasarkan hasil evaluasi dari Inspektorat terhadap Laporan Kinerja </w:t>
      </w:r>
      <w:r>
        <w:rPr>
          <w:rFonts w:ascii="Tahoma" w:hAnsi="Tahoma" w:cs="Tahoma"/>
        </w:rPr>
        <w:t>T</w:t>
      </w:r>
      <w:r>
        <w:rPr>
          <w:rFonts w:ascii="Tahoma" w:hAnsi="Tahoma" w:cs="Tahoma"/>
          <w:lang w:val="id-ID"/>
        </w:rPr>
        <w:t>ahun 201</w:t>
      </w:r>
      <w:r>
        <w:rPr>
          <w:rFonts w:ascii="Tahoma" w:hAnsi="Tahoma" w:cs="Tahoma"/>
        </w:rPr>
        <w:t>9.</w:t>
      </w:r>
    </w:p>
    <w:p>
      <w:pPr>
        <w:numPr>
          <w:ilvl w:val="0"/>
          <w:numId w:val="8"/>
        </w:numPr>
        <w:spacing w:before="180" w:after="0" w:line="360" w:lineRule="auto"/>
        <w:jc w:val="both"/>
        <w:rPr>
          <w:rFonts w:ascii="Tahoma" w:hAnsi="Tahoma" w:cs="Tahoma"/>
          <w:color w:val="000000"/>
          <w:lang w:val="id-ID"/>
        </w:rPr>
      </w:pPr>
      <w:r>
        <w:rPr>
          <w:rFonts w:ascii="Tahoma" w:hAnsi="Tahoma" w:cs="Tahoma"/>
          <w:color w:val="000000"/>
          <w:lang w:val="id-ID"/>
        </w:rPr>
        <w:t xml:space="preserve">Kinerja sasaran dimaksud diharapkan dapat memberikan kontribusi terhadap pencapaian tujuan yang tertuang dalam Revisi Renstra </w:t>
      </w:r>
      <w:r>
        <w:rPr>
          <w:rFonts w:ascii="Tahoma" w:hAnsi="Tahoma" w:cs="Tahoma"/>
          <w:color w:val="000000"/>
        </w:rPr>
        <w:t>Badan Keuangan Daerah Tahun 2019</w:t>
      </w:r>
      <w:r>
        <w:rPr>
          <w:rFonts w:ascii="Tahoma" w:hAnsi="Tahoma" w:cs="Tahoma"/>
          <w:color w:val="000000"/>
          <w:lang w:val="id-ID"/>
        </w:rPr>
        <w:t>, yaitu:</w:t>
      </w:r>
    </w:p>
    <w:p>
      <w:pPr>
        <w:pStyle w:val="20"/>
        <w:numPr>
          <w:ilvl w:val="0"/>
          <w:numId w:val="9"/>
        </w:numPr>
        <w:tabs>
          <w:tab w:val="clear" w:pos="425"/>
          <w:tab w:val="clear" w:pos="1080"/>
        </w:tabs>
        <w:spacing w:line="360" w:lineRule="auto"/>
        <w:ind w:left="865"/>
        <w:jc w:val="both"/>
        <w:rPr>
          <w:rFonts w:ascii="Tahoma" w:hAnsi="Tahoma" w:cs="Tahoma"/>
          <w:b w:val="0"/>
          <w:bCs w:val="0"/>
          <w:color w:val="000000"/>
          <w:sz w:val="22"/>
          <w:szCs w:val="22"/>
          <w:lang w:val="id-ID"/>
        </w:rPr>
      </w:pPr>
      <w:r>
        <w:rPr>
          <w:rFonts w:ascii="Tahoma" w:hAnsi="Tahoma" w:cs="Tahoma"/>
          <w:b w:val="0"/>
          <w:bCs w:val="0"/>
          <w:color w:val="000000"/>
          <w:sz w:val="22"/>
          <w:szCs w:val="22"/>
        </w:rPr>
        <w:t>Meningkatnya transparansi dan akuntabilitas dalam penyelenggaraan pengelolaan keuangan daerah.</w:t>
      </w:r>
    </w:p>
    <w:p>
      <w:pPr>
        <w:pStyle w:val="20"/>
        <w:numPr>
          <w:ilvl w:val="0"/>
          <w:numId w:val="9"/>
        </w:numPr>
        <w:tabs>
          <w:tab w:val="clear" w:pos="425"/>
          <w:tab w:val="clear" w:pos="1080"/>
        </w:tabs>
        <w:spacing w:line="360" w:lineRule="auto"/>
        <w:ind w:left="865"/>
        <w:jc w:val="both"/>
        <w:rPr>
          <w:rFonts w:ascii="Tahoma" w:hAnsi="Tahoma" w:cs="Tahoma"/>
          <w:b w:val="0"/>
          <w:bCs w:val="0"/>
          <w:color w:val="000000"/>
          <w:sz w:val="22"/>
          <w:szCs w:val="22"/>
          <w:lang w:val="id-ID"/>
        </w:rPr>
      </w:pPr>
      <w:r>
        <w:rPr>
          <w:rFonts w:ascii="Tahoma" w:hAnsi="Tahoma" w:cs="Tahoma"/>
          <w:b w:val="0"/>
          <w:bCs w:val="0"/>
          <w:color w:val="000000"/>
          <w:sz w:val="22"/>
          <w:szCs w:val="22"/>
          <w:lang w:val="id-ID"/>
        </w:rPr>
        <w:t>Meningkat</w:t>
      </w:r>
      <w:r>
        <w:rPr>
          <w:rFonts w:ascii="Tahoma" w:hAnsi="Tahoma" w:cs="Tahoma"/>
          <w:b w:val="0"/>
          <w:bCs w:val="0"/>
          <w:color w:val="000000"/>
          <w:sz w:val="22"/>
          <w:szCs w:val="22"/>
        </w:rPr>
        <w:t>nya</w:t>
      </w:r>
      <w:r>
        <w:rPr>
          <w:rFonts w:hint="default" w:ascii="Tahoma" w:hAnsi="Tahoma" w:cs="Tahoma"/>
          <w:b w:val="0"/>
          <w:bCs w:val="0"/>
          <w:color w:val="000000"/>
          <w:sz w:val="22"/>
          <w:szCs w:val="22"/>
          <w:lang w:val="en-US"/>
        </w:rPr>
        <w:t xml:space="preserve"> </w:t>
      </w:r>
      <w:r>
        <w:rPr>
          <w:rFonts w:ascii="Tahoma" w:hAnsi="Tahoma" w:cs="Tahoma"/>
          <w:b w:val="0"/>
          <w:bCs w:val="0"/>
          <w:color w:val="000000"/>
          <w:sz w:val="22"/>
          <w:szCs w:val="22"/>
        </w:rPr>
        <w:t>pendapatan daerah</w:t>
      </w:r>
      <w:r>
        <w:rPr>
          <w:rFonts w:ascii="Tahoma" w:hAnsi="Tahoma" w:cs="Tahoma"/>
          <w:b w:val="0"/>
          <w:bCs w:val="0"/>
          <w:color w:val="000000"/>
          <w:sz w:val="22"/>
          <w:szCs w:val="22"/>
          <w:lang w:val="id-ID"/>
        </w:rPr>
        <w:t>.</w:t>
      </w:r>
    </w:p>
    <w:p>
      <w:pPr>
        <w:pStyle w:val="20"/>
        <w:numPr>
          <w:ilvl w:val="0"/>
          <w:numId w:val="9"/>
        </w:numPr>
        <w:tabs>
          <w:tab w:val="clear" w:pos="425"/>
          <w:tab w:val="clear" w:pos="1080"/>
        </w:tabs>
        <w:spacing w:line="360" w:lineRule="auto"/>
        <w:ind w:left="865"/>
        <w:jc w:val="both"/>
        <w:rPr>
          <w:rFonts w:ascii="Tahoma" w:hAnsi="Tahoma" w:cs="Tahoma"/>
          <w:b w:val="0"/>
          <w:bCs w:val="0"/>
          <w:color w:val="000000"/>
          <w:sz w:val="22"/>
          <w:szCs w:val="22"/>
          <w:lang w:val="id-ID"/>
        </w:rPr>
      </w:pPr>
      <w:r>
        <w:rPr>
          <w:rFonts w:ascii="Tahoma" w:hAnsi="Tahoma" w:cs="Tahoma"/>
          <w:b w:val="0"/>
          <w:bCs w:val="0"/>
          <w:color w:val="000000"/>
          <w:sz w:val="22"/>
          <w:szCs w:val="22"/>
          <w:lang w:val="id-ID"/>
        </w:rPr>
        <w:t xml:space="preserve">Meningkatnya </w:t>
      </w:r>
      <w:r>
        <w:rPr>
          <w:rFonts w:ascii="Tahoma" w:hAnsi="Tahoma" w:cs="Tahoma"/>
          <w:b w:val="0"/>
          <w:bCs w:val="0"/>
          <w:color w:val="000000"/>
          <w:sz w:val="22"/>
          <w:szCs w:val="22"/>
        </w:rPr>
        <w:t>kinerja organisasi.</w:t>
      </w:r>
    </w:p>
    <w:p>
      <w:pPr>
        <w:numPr>
          <w:ilvl w:val="0"/>
          <w:numId w:val="10"/>
        </w:numPr>
        <w:tabs>
          <w:tab w:val="clear" w:pos="720"/>
        </w:tabs>
        <w:spacing w:before="180" w:after="0" w:line="360" w:lineRule="auto"/>
        <w:ind w:left="360"/>
        <w:jc w:val="both"/>
        <w:rPr>
          <w:rFonts w:ascii="Tahoma" w:hAnsi="Tahoma" w:cs="Tahoma"/>
          <w:color w:val="000000"/>
          <w:lang w:val="id-ID"/>
        </w:rPr>
      </w:pPr>
      <w:r>
        <w:rPr>
          <w:rFonts w:ascii="Tahoma" w:hAnsi="Tahoma" w:cs="Tahoma"/>
          <w:color w:val="000000"/>
          <w:lang w:val="id-ID"/>
        </w:rPr>
        <w:t>Pencapaian kinerja sasaran juga diharapkan dapat memberikan kontrisbusi terhadap target kinerja Pemerintah Provinsi yang dibebankan kepada</w:t>
      </w:r>
      <w:r>
        <w:rPr>
          <w:rFonts w:ascii="Tahoma" w:hAnsi="Tahoma" w:cs="Tahoma"/>
          <w:color w:val="000000"/>
        </w:rPr>
        <w:t xml:space="preserve"> Badan Keuangan Daerah </w:t>
      </w:r>
      <w:r>
        <w:rPr>
          <w:rFonts w:ascii="Tahoma" w:hAnsi="Tahoma" w:cs="Tahoma"/>
          <w:color w:val="000000"/>
          <w:lang w:val="id-ID"/>
        </w:rPr>
        <w:t xml:space="preserve">Provinsi Sumatera Barat yaitu Meningkatnya Status Opini BPK Terhadap Laporan Keuangan Pemerintah Provinsi </w:t>
      </w:r>
      <w:r>
        <w:rPr>
          <w:rFonts w:ascii="Tahoma" w:hAnsi="Tahoma" w:cs="Tahoma"/>
          <w:color w:val="000000"/>
        </w:rPr>
        <w:t>dimana</w:t>
      </w:r>
      <w:r>
        <w:rPr>
          <w:rFonts w:ascii="Tahoma" w:hAnsi="Tahoma" w:cs="Tahoma"/>
          <w:color w:val="000000"/>
          <w:lang w:val="id-ID"/>
        </w:rPr>
        <w:t xml:space="preserve"> pada tahun </w:t>
      </w:r>
      <w:r>
        <w:rPr>
          <w:rFonts w:ascii="Tahoma" w:hAnsi="Tahoma" w:cs="Tahoma"/>
          <w:color w:val="000000"/>
        </w:rPr>
        <w:t>2020</w:t>
      </w:r>
      <w:r>
        <w:rPr>
          <w:rFonts w:ascii="Tahoma" w:hAnsi="Tahoma" w:cs="Tahoma"/>
          <w:color w:val="000000"/>
          <w:lang w:val="id-ID"/>
        </w:rPr>
        <w:t xml:space="preserve"> ini ditargetkan memperoleh </w:t>
      </w:r>
      <w:r>
        <w:rPr>
          <w:rFonts w:ascii="Tahoma" w:hAnsi="Tahoma" w:cs="Tahoma"/>
          <w:color w:val="000000"/>
        </w:rPr>
        <w:t>O</w:t>
      </w:r>
      <w:r>
        <w:rPr>
          <w:rFonts w:ascii="Tahoma" w:hAnsi="Tahoma" w:cs="Tahoma"/>
          <w:color w:val="000000"/>
          <w:lang w:val="id-ID"/>
        </w:rPr>
        <w:t>p</w:t>
      </w:r>
      <w:r>
        <w:rPr>
          <w:rFonts w:ascii="Tahoma" w:hAnsi="Tahoma" w:cs="Tahoma"/>
          <w:color w:val="000000"/>
        </w:rPr>
        <w:t>i</w:t>
      </w:r>
      <w:r>
        <w:rPr>
          <w:rFonts w:ascii="Tahoma" w:hAnsi="Tahoma" w:cs="Tahoma"/>
          <w:color w:val="000000"/>
          <w:lang w:val="id-ID"/>
        </w:rPr>
        <w:t>ni Wajar Tanpa Pengecualian</w:t>
      </w:r>
      <w:r>
        <w:rPr>
          <w:rFonts w:ascii="Tahoma" w:hAnsi="Tahoma" w:cs="Tahoma"/>
          <w:color w:val="000000"/>
        </w:rPr>
        <w:t>.</w:t>
      </w:r>
    </w:p>
    <w:p>
      <w:pPr>
        <w:spacing w:before="180" w:line="360" w:lineRule="auto"/>
        <w:jc w:val="both"/>
        <w:rPr>
          <w:rFonts w:ascii="Tahoma" w:hAnsi="Tahoma" w:cs="Tahoma"/>
          <w:color w:val="000000"/>
        </w:rPr>
      </w:pPr>
    </w:p>
    <w:p>
      <w:pPr>
        <w:spacing w:before="180" w:line="360" w:lineRule="auto"/>
        <w:jc w:val="both"/>
        <w:rPr>
          <w:rFonts w:ascii="Tahoma" w:hAnsi="Tahoma" w:cs="Tahoma"/>
          <w:color w:val="000000"/>
        </w:rPr>
      </w:pPr>
    </w:p>
    <w:p>
      <w:pPr>
        <w:spacing w:before="180" w:line="360" w:lineRule="auto"/>
        <w:jc w:val="both"/>
        <w:rPr>
          <w:rFonts w:ascii="Tahoma" w:hAnsi="Tahoma" w:cs="Tahoma"/>
          <w:color w:val="000000"/>
        </w:rPr>
      </w:pPr>
      <w:r>
        <w:rPr>
          <w:rFonts w:ascii="Tahoma" w:hAnsi="Tahoma" w:cs="Tahoma"/>
          <w:color w:val="000000"/>
        </w:rPr>
        <w:t>Berdasarkan uraian di atas, dapat direkomendasikan hal-hal sebagai berikut:</w:t>
      </w:r>
    </w:p>
    <w:p>
      <w:pPr>
        <w:numPr>
          <w:ilvl w:val="1"/>
          <w:numId w:val="11"/>
        </w:numPr>
        <w:tabs>
          <w:tab w:val="left" w:pos="360"/>
          <w:tab w:val="clear" w:pos="900"/>
        </w:tabs>
        <w:spacing w:before="180" w:after="0" w:line="360" w:lineRule="auto"/>
        <w:ind w:left="360"/>
        <w:jc w:val="both"/>
        <w:rPr>
          <w:rFonts w:ascii="Tahoma" w:hAnsi="Tahoma" w:cs="Tahoma"/>
          <w:color w:val="000000"/>
          <w:lang w:val="id-ID"/>
        </w:rPr>
      </w:pPr>
      <w:r>
        <w:rPr>
          <w:rFonts w:ascii="Tahoma" w:hAnsi="Tahoma" w:cs="Tahoma"/>
          <w:color w:val="000000"/>
          <w:lang w:val="id-ID"/>
        </w:rPr>
        <w:t>Perlunya optimalisasi pencapaian kinerja program dan kegiatan pada Program Peningkatan dan Pengembangan Pengelolaan Keuangan Daerah</w:t>
      </w:r>
      <w:r>
        <w:rPr>
          <w:rFonts w:ascii="Tahoma" w:hAnsi="Tahoma" w:cs="Tahoma"/>
          <w:color w:val="000000"/>
        </w:rPr>
        <w:t xml:space="preserve">, yang salah satunya dilakukan dengan perencanaan yang baik, </w:t>
      </w:r>
      <w:r>
        <w:rPr>
          <w:rFonts w:ascii="Tahoma" w:hAnsi="Tahoma" w:cs="Tahoma"/>
          <w:color w:val="000000"/>
          <w:lang w:val="id-ID"/>
        </w:rPr>
        <w:t xml:space="preserve">menghindari terjadinya kesalahan penganggaran yang mengakibatkan tidak terealisirnya anggaran yang sudah disediakan, penatalaksanaan yang harus sesuai dengan jadwal </w:t>
      </w:r>
      <w:r>
        <w:rPr>
          <w:rFonts w:ascii="Tahoma" w:hAnsi="Tahoma" w:cs="Tahoma"/>
          <w:color w:val="000000"/>
        </w:rPr>
        <w:t xml:space="preserve">terutama pada kegiatan yang </w:t>
      </w:r>
      <w:r>
        <w:rPr>
          <w:rFonts w:ascii="Tahoma" w:hAnsi="Tahoma" w:cs="Tahoma"/>
          <w:color w:val="000000"/>
          <w:lang w:val="id-ID"/>
        </w:rPr>
        <w:t>pelaksanaanya berkaitan dangan pihak lain.</w:t>
      </w:r>
    </w:p>
    <w:p>
      <w:pPr>
        <w:numPr>
          <w:ilvl w:val="1"/>
          <w:numId w:val="11"/>
        </w:numPr>
        <w:tabs>
          <w:tab w:val="left" w:pos="360"/>
          <w:tab w:val="clear" w:pos="900"/>
        </w:tabs>
        <w:spacing w:before="180" w:after="0" w:line="360" w:lineRule="auto"/>
        <w:ind w:left="360"/>
        <w:jc w:val="both"/>
        <w:rPr>
          <w:rFonts w:ascii="Tahoma" w:hAnsi="Tahoma" w:cs="Tahoma"/>
          <w:color w:val="000000"/>
          <w:lang w:val="id-ID"/>
        </w:rPr>
      </w:pPr>
      <w:r>
        <w:rPr>
          <w:rFonts w:ascii="Tahoma" w:hAnsi="Tahoma" w:cs="Tahoma"/>
          <w:color w:val="000000"/>
          <w:lang w:val="id-ID"/>
        </w:rPr>
        <w:t xml:space="preserve">Upaya-upaya peningkatan kinerja dalam rangka pelaksanaan tugas pokok dan fungsi </w:t>
      </w:r>
      <w:r>
        <w:rPr>
          <w:rFonts w:ascii="Tahoma" w:hAnsi="Tahoma" w:cs="Tahoma"/>
          <w:color w:val="000000"/>
        </w:rPr>
        <w:t>Badan Keuangan Daerah</w:t>
      </w:r>
      <w:r>
        <w:rPr>
          <w:rFonts w:ascii="Tahoma" w:hAnsi="Tahoma" w:cs="Tahoma"/>
          <w:color w:val="000000"/>
          <w:lang w:val="id-ID"/>
        </w:rPr>
        <w:t xml:space="preserve"> dapat  dilakukan antara lain melalui:</w:t>
      </w:r>
    </w:p>
    <w:p>
      <w:pPr>
        <w:keepNext w:val="0"/>
        <w:keepLines w:val="0"/>
        <w:pageBreakBefore w:val="0"/>
        <w:widowControl/>
        <w:numPr>
          <w:ilvl w:val="0"/>
          <w:numId w:val="12"/>
        </w:numPr>
        <w:tabs>
          <w:tab w:val="clear" w:pos="425"/>
        </w:tabs>
        <w:kinsoku/>
        <w:wordWrap/>
        <w:overflowPunct/>
        <w:topLinePunct w:val="0"/>
        <w:autoSpaceDE/>
        <w:autoSpaceDN/>
        <w:bidi w:val="0"/>
        <w:adjustRightInd/>
        <w:snapToGrid/>
        <w:spacing w:after="0" w:line="360" w:lineRule="auto"/>
        <w:ind w:left="650" w:leftChars="0" w:hanging="281" w:firstLineChars="0"/>
        <w:jc w:val="both"/>
        <w:textAlignment w:val="auto"/>
        <w:rPr>
          <w:rFonts w:ascii="Tahoma" w:hAnsi="Tahoma" w:cs="Tahoma"/>
          <w:color w:val="000000"/>
          <w:lang w:val="id-ID"/>
        </w:rPr>
      </w:pPr>
      <w:r>
        <w:rPr>
          <w:rFonts w:ascii="Tahoma" w:hAnsi="Tahoma" w:cs="Tahoma"/>
          <w:color w:val="000000"/>
          <w:lang w:val="id-ID"/>
        </w:rPr>
        <w:t>Perencanaan program dan kegiatan secara lebih mantap serta antisipatif sehingga tidak akan mengalami permasalahan-permasalahan dalam pelaksanaannya.</w:t>
      </w:r>
    </w:p>
    <w:p>
      <w:pPr>
        <w:keepNext w:val="0"/>
        <w:keepLines w:val="0"/>
        <w:pageBreakBefore w:val="0"/>
        <w:widowControl/>
        <w:numPr>
          <w:ilvl w:val="0"/>
          <w:numId w:val="12"/>
        </w:numPr>
        <w:tabs>
          <w:tab w:val="clear" w:pos="425"/>
        </w:tabs>
        <w:kinsoku/>
        <w:wordWrap/>
        <w:overflowPunct/>
        <w:topLinePunct w:val="0"/>
        <w:autoSpaceDE/>
        <w:autoSpaceDN/>
        <w:bidi w:val="0"/>
        <w:adjustRightInd/>
        <w:snapToGrid/>
        <w:spacing w:after="0" w:line="360" w:lineRule="auto"/>
        <w:ind w:left="650" w:leftChars="0" w:hanging="281" w:firstLineChars="0"/>
        <w:jc w:val="both"/>
        <w:textAlignment w:val="auto"/>
        <w:rPr>
          <w:rFonts w:ascii="Tahoma" w:hAnsi="Tahoma" w:cs="Tahoma"/>
          <w:color w:val="000000"/>
          <w:lang w:val="id-ID"/>
        </w:rPr>
      </w:pPr>
      <w:r>
        <w:rPr>
          <w:rFonts w:ascii="Tahoma" w:hAnsi="Tahoma" w:cs="Tahoma"/>
          <w:color w:val="000000"/>
          <w:lang w:val="id-ID"/>
        </w:rPr>
        <w:t>Peningkatan kompetensi SDM khususnya terkait dengan proses pengelolaan pendapatan daerah dan pengelolaan keuangan daerah terutama yang berkaitan dengan pengelolaan data, informasi</w:t>
      </w:r>
      <w:r>
        <w:rPr>
          <w:rFonts w:ascii="Tahoma" w:hAnsi="Tahoma" w:cs="Tahoma"/>
          <w:color w:val="000000"/>
        </w:rPr>
        <w:t>,</w:t>
      </w:r>
      <w:r>
        <w:rPr>
          <w:rFonts w:ascii="Tahoma" w:hAnsi="Tahoma" w:cs="Tahoma"/>
          <w:color w:val="000000"/>
          <w:lang w:val="id-ID"/>
        </w:rPr>
        <w:t xml:space="preserve"> dan implementasi sistem informasi.</w:t>
      </w:r>
    </w:p>
    <w:p>
      <w:pPr>
        <w:keepNext w:val="0"/>
        <w:keepLines w:val="0"/>
        <w:pageBreakBefore w:val="0"/>
        <w:widowControl/>
        <w:numPr>
          <w:ilvl w:val="0"/>
          <w:numId w:val="12"/>
        </w:numPr>
        <w:tabs>
          <w:tab w:val="clear" w:pos="425"/>
        </w:tabs>
        <w:kinsoku/>
        <w:wordWrap/>
        <w:overflowPunct/>
        <w:topLinePunct w:val="0"/>
        <w:autoSpaceDE/>
        <w:autoSpaceDN/>
        <w:bidi w:val="0"/>
        <w:adjustRightInd/>
        <w:snapToGrid/>
        <w:spacing w:afterLines="50" w:line="360" w:lineRule="auto"/>
        <w:ind w:left="650" w:leftChars="0" w:hanging="281" w:firstLineChars="0"/>
        <w:jc w:val="both"/>
        <w:textAlignment w:val="auto"/>
        <w:rPr>
          <w:rFonts w:ascii="Tahoma" w:hAnsi="Tahoma" w:cs="Tahoma"/>
          <w:color w:val="000000"/>
          <w:lang w:val="id-ID"/>
        </w:rPr>
      </w:pPr>
      <w:r>
        <w:rPr>
          <w:rFonts w:ascii="Tahoma" w:hAnsi="Tahoma" w:cs="Tahoma"/>
          <w:color w:val="000000"/>
          <w:lang w:val="id-ID"/>
        </w:rPr>
        <w:t>Perlunya upaya-upaya perencanaan diklat yang mantap untuk meningkatkan kompetensi aparatur pengelola keuangan daerah, sehingga keberadaan aparat memang betul-betul ses</w:t>
      </w:r>
      <w:r>
        <w:rPr>
          <w:rFonts w:ascii="Tahoma" w:hAnsi="Tahoma" w:cs="Tahoma"/>
          <w:color w:val="000000"/>
        </w:rPr>
        <w:t>ua</w:t>
      </w:r>
      <w:r>
        <w:rPr>
          <w:rFonts w:ascii="Tahoma" w:hAnsi="Tahoma" w:cs="Tahoma"/>
          <w:color w:val="000000"/>
          <w:lang w:val="id-ID"/>
        </w:rPr>
        <w:t>i dengan kebutuhan organisasi.</w:t>
      </w:r>
    </w:p>
    <w:p>
      <w:pPr>
        <w:pStyle w:val="30"/>
        <w:numPr>
          <w:ilvl w:val="1"/>
          <w:numId w:val="11"/>
        </w:numPr>
        <w:tabs>
          <w:tab w:val="clear" w:pos="900"/>
        </w:tabs>
        <w:spacing w:after="120" w:line="360" w:lineRule="auto"/>
        <w:ind w:left="440" w:hanging="440"/>
        <w:jc w:val="both"/>
        <w:rPr>
          <w:rFonts w:ascii="Tahoma" w:hAnsi="Tahoma" w:eastAsia="Times New Roman" w:cs="Tahoma"/>
          <w:bCs/>
          <w:lang w:val="id-ID" w:eastAsia="id-ID"/>
        </w:rPr>
      </w:pPr>
      <w:r>
        <w:rPr>
          <w:rFonts w:ascii="Tahoma" w:hAnsi="Tahoma" w:eastAsia="Times New Roman" w:cs="Tahoma"/>
          <w:bCs/>
          <w:lang w:val="id-ID" w:eastAsia="id-ID"/>
        </w:rPr>
        <w:t>Seiring dengan sistem komputerisasi yang menjadi tulang punggung dalam sarana dan prasarana, Badan Keu</w:t>
      </w:r>
      <w:r>
        <w:rPr>
          <w:rFonts w:ascii="Tahoma" w:hAnsi="Tahoma" w:eastAsia="Times New Roman" w:cs="Tahoma"/>
          <w:bCs/>
          <w:lang w:eastAsia="id-ID"/>
        </w:rPr>
        <w:t>a</w:t>
      </w:r>
      <w:r>
        <w:rPr>
          <w:rFonts w:ascii="Tahoma" w:hAnsi="Tahoma" w:eastAsia="Times New Roman" w:cs="Tahoma"/>
          <w:bCs/>
          <w:lang w:val="id-ID" w:eastAsia="id-ID"/>
        </w:rPr>
        <w:t xml:space="preserve">ngan Daerah Provinsi </w:t>
      </w:r>
      <w:r>
        <w:rPr>
          <w:rFonts w:ascii="Tahoma" w:hAnsi="Tahoma" w:eastAsia="Times New Roman" w:cs="Tahoma"/>
          <w:bCs/>
          <w:lang w:eastAsia="id-ID"/>
        </w:rPr>
        <w:t xml:space="preserve">Sumatera Barat </w:t>
      </w:r>
      <w:r>
        <w:rPr>
          <w:rFonts w:ascii="Tahoma" w:hAnsi="Tahoma" w:eastAsia="Times New Roman" w:cs="Tahoma"/>
          <w:bCs/>
          <w:lang w:val="fi-FI" w:eastAsia="id-ID"/>
        </w:rPr>
        <w:t>akan senantiasa meningkatkan kapabilitas (kemampuan) Sumber</w:t>
      </w:r>
      <w:r>
        <w:rPr>
          <w:rFonts w:ascii="Tahoma" w:hAnsi="Tahoma" w:eastAsia="Times New Roman" w:cs="Tahoma"/>
          <w:bCs/>
          <w:lang w:val="id-ID" w:eastAsia="id-ID"/>
        </w:rPr>
        <w:t xml:space="preserve"> Daya Manusia (SDM) Aparatur, khususnya dalam hal kualitas pelayanan publik.</w:t>
      </w:r>
    </w:p>
    <w:p>
      <w:pPr>
        <w:numPr>
          <w:ilvl w:val="1"/>
          <w:numId w:val="11"/>
        </w:numPr>
        <w:tabs>
          <w:tab w:val="clear" w:pos="900"/>
        </w:tabs>
        <w:spacing w:afterLines="50" w:line="360" w:lineRule="auto"/>
        <w:ind w:left="440" w:hanging="440"/>
        <w:jc w:val="both"/>
        <w:rPr>
          <w:rFonts w:ascii="Tahoma" w:hAnsi="Tahoma" w:cs="Tahoma"/>
          <w:color w:val="000000"/>
        </w:rPr>
      </w:pPr>
      <w:r>
        <w:rPr>
          <w:rFonts w:ascii="Tahoma" w:hAnsi="Tahoma" w:cs="Tahoma"/>
          <w:color w:val="000000"/>
        </w:rPr>
        <w:t xml:space="preserve">Melaksanakan </w:t>
      </w:r>
      <w:r>
        <w:rPr>
          <w:rFonts w:ascii="Tahoma" w:hAnsi="Tahoma" w:eastAsia="Times New Roman" w:cs="Tahoma"/>
          <w:bCs/>
          <w:lang w:val="id-ID" w:eastAsia="id-ID"/>
        </w:rPr>
        <w:t xml:space="preserve">perbaikan sistem jaringan guna mendukung pengembangan teknologi informasi dalam pengelolaan keuangan dan perbaikan kualitas pelayanan serta pengembangan sarana dan prasarana  </w:t>
      </w:r>
      <w:r>
        <w:rPr>
          <w:rFonts w:ascii="Tahoma" w:hAnsi="Tahoma" w:eastAsia="Times New Roman" w:cs="Tahoma"/>
          <w:bCs/>
          <w:lang w:val="nn-NO" w:eastAsia="id-ID"/>
        </w:rPr>
        <w:t>pelayanan yang berbasis teknologi informasi dan mengembangkan</w:t>
      </w:r>
      <w:r>
        <w:rPr>
          <w:rFonts w:ascii="Tahoma" w:hAnsi="Tahoma" w:eastAsia="Times New Roman" w:cs="Tahoma"/>
          <w:bCs/>
          <w:lang w:val="fi-FI" w:eastAsia="id-ID"/>
        </w:rPr>
        <w:t>jaringan kerjasama dengan pihak lain</w:t>
      </w:r>
      <w:r>
        <w:rPr>
          <w:rFonts w:ascii="Tahoma" w:hAnsi="Tahoma" w:eastAsia="Times New Roman" w:cs="Tahoma"/>
          <w:bCs/>
          <w:lang w:eastAsia="id-ID"/>
        </w:rPr>
        <w:t>.</w:t>
      </w:r>
    </w:p>
    <w:p>
      <w:pPr>
        <w:pStyle w:val="30"/>
        <w:numPr>
          <w:ilvl w:val="1"/>
          <w:numId w:val="11"/>
        </w:numPr>
        <w:tabs>
          <w:tab w:val="clear" w:pos="900"/>
        </w:tabs>
        <w:spacing w:line="360" w:lineRule="auto"/>
        <w:ind w:left="440" w:hanging="440"/>
        <w:jc w:val="both"/>
        <w:rPr>
          <w:rFonts w:ascii="Tahoma" w:hAnsi="Tahoma" w:eastAsia="Times New Roman" w:cs="Tahoma"/>
          <w:bCs/>
          <w:lang w:val="id-ID" w:eastAsia="id-ID"/>
        </w:rPr>
      </w:pPr>
      <w:r>
        <w:rPr>
          <w:rFonts w:ascii="Tahoma" w:hAnsi="Tahoma" w:eastAsia="Times New Roman" w:cs="Tahoma"/>
          <w:bCs/>
          <w:lang w:eastAsia="id-ID"/>
        </w:rPr>
        <w:t xml:space="preserve">Melaksanakan </w:t>
      </w:r>
      <w:r>
        <w:rPr>
          <w:rFonts w:ascii="Tahoma" w:hAnsi="Tahoma" w:eastAsia="Times New Roman" w:cs="Tahoma"/>
          <w:bCs/>
          <w:lang w:val="id-ID" w:eastAsia="id-ID"/>
        </w:rPr>
        <w:t>inovasi-inovasi, baik dalam hal penagihan pajak daerah maupun pelayanan kepada wajib pajak dengan melihat karakteristik dan kultur masyarakat wajib pajak, serta memperhatikan keterbatasan Sumber Daya Manusia Aparatur yang ada</w:t>
      </w:r>
      <w:r>
        <w:rPr>
          <w:rFonts w:ascii="Tahoma" w:hAnsi="Tahoma" w:eastAsia="Times New Roman" w:cs="Tahoma"/>
          <w:bCs/>
          <w:lang w:eastAsia="id-ID"/>
        </w:rPr>
        <w:t>.</w:t>
      </w:r>
    </w:p>
    <w:p>
      <w:pPr>
        <w:pStyle w:val="30"/>
        <w:spacing w:before="120" w:after="0" w:line="240" w:lineRule="auto"/>
        <w:ind w:left="0" w:right="26"/>
        <w:jc w:val="both"/>
        <w:rPr>
          <w:rFonts w:eastAsia="Times New Roman" w:cs="Arial"/>
          <w:b/>
          <w:bCs/>
          <w:sz w:val="12"/>
          <w:szCs w:val="12"/>
          <w:lang w:val="id-ID" w:eastAsia="id-ID"/>
        </w:rPr>
      </w:pPr>
    </w:p>
    <w:p>
      <w:pPr>
        <w:pStyle w:val="30"/>
        <w:spacing w:before="120" w:after="0" w:line="240" w:lineRule="auto"/>
        <w:ind w:left="0" w:right="26"/>
        <w:jc w:val="both"/>
        <w:rPr>
          <w:rFonts w:eastAsia="Times New Roman" w:cs="Arial"/>
          <w:b/>
          <w:bCs/>
          <w:sz w:val="12"/>
          <w:szCs w:val="12"/>
          <w:lang w:val="id-ID" w:eastAsia="id-ID"/>
        </w:rPr>
      </w:pPr>
    </w:p>
    <w:p>
      <w:pPr>
        <w:pStyle w:val="30"/>
        <w:spacing w:before="120" w:after="0" w:line="240" w:lineRule="auto"/>
        <w:ind w:left="0" w:right="26"/>
        <w:jc w:val="both"/>
        <w:rPr>
          <w:rFonts w:eastAsia="Times New Roman" w:cs="Arial"/>
          <w:b/>
          <w:bCs/>
          <w:sz w:val="12"/>
          <w:szCs w:val="12"/>
          <w:lang w:val="id-ID" w:eastAsia="id-ID"/>
        </w:rPr>
      </w:pPr>
    </w:p>
    <w:p>
      <w:pPr>
        <w:pStyle w:val="30"/>
        <w:spacing w:before="120" w:after="0" w:line="240" w:lineRule="auto"/>
        <w:ind w:left="0" w:right="26"/>
        <w:jc w:val="both"/>
        <w:rPr>
          <w:rFonts w:eastAsia="Times New Roman" w:cs="Arial"/>
          <w:b/>
          <w:bCs/>
          <w:sz w:val="12"/>
          <w:szCs w:val="12"/>
          <w:lang w:val="id-ID" w:eastAsia="id-ID"/>
        </w:rPr>
      </w:pPr>
    </w:p>
    <w:p>
      <w:pPr>
        <w:pStyle w:val="30"/>
        <w:spacing w:before="120" w:after="0" w:line="240" w:lineRule="auto"/>
        <w:ind w:left="0" w:right="26"/>
        <w:jc w:val="both"/>
        <w:rPr>
          <w:rFonts w:eastAsia="Times New Roman" w:cs="Arial"/>
          <w:b/>
          <w:bCs/>
          <w:sz w:val="12"/>
          <w:szCs w:val="12"/>
          <w:lang w:val="id-ID" w:eastAsia="id-ID"/>
        </w:rPr>
      </w:pPr>
    </w:p>
    <w:p>
      <w:pPr>
        <w:pStyle w:val="30"/>
        <w:spacing w:before="120" w:after="0" w:line="240" w:lineRule="auto"/>
        <w:ind w:left="0" w:right="26"/>
        <w:jc w:val="both"/>
        <w:rPr>
          <w:rFonts w:eastAsia="Times New Roman" w:cs="Arial"/>
          <w:b/>
          <w:bCs/>
          <w:sz w:val="12"/>
          <w:szCs w:val="12"/>
          <w:lang w:val="id-ID" w:eastAsia="id-ID"/>
        </w:rPr>
      </w:pPr>
    </w:p>
    <w:p>
      <w:pPr>
        <w:tabs>
          <w:tab w:val="left" w:pos="900"/>
        </w:tabs>
        <w:spacing w:before="120" w:after="0" w:line="360" w:lineRule="auto"/>
        <w:jc w:val="both"/>
        <w:rPr>
          <w:rFonts w:ascii="Tahoma" w:hAnsi="Tahoma" w:cs="Tahoma"/>
          <w:color w:val="000000"/>
        </w:rPr>
      </w:pPr>
    </w:p>
    <w:p>
      <w:pPr>
        <w:rPr>
          <w:rFonts w:ascii="Tahoma" w:hAnsi="Tahoma" w:cs="Tahoma"/>
          <w:b/>
          <w:color w:val="000000"/>
          <w:sz w:val="60"/>
          <w:szCs w:val="60"/>
        </w:rPr>
        <w:sectPr>
          <w:footerReference r:id="rId9" w:type="first"/>
          <w:footerReference r:id="rId8" w:type="default"/>
          <w:pgSz w:w="11907" w:h="16839"/>
          <w:pgMar w:top="1701" w:right="1134" w:bottom="1701" w:left="1701" w:header="720" w:footer="720" w:gutter="0"/>
          <w:pgBorders>
            <w:top w:val="none" w:sz="0" w:space="0"/>
            <w:left w:val="none" w:sz="0" w:space="0"/>
            <w:bottom w:val="none" w:sz="0" w:space="0"/>
            <w:right w:val="none" w:sz="0" w:space="0"/>
          </w:pgBorders>
          <w:pgNumType w:fmt="lowerRoman" w:start="1"/>
          <w:cols w:space="720" w:num="1"/>
          <w:titlePg/>
          <w:docGrid w:linePitch="360" w:charSpace="0"/>
        </w:sectPr>
      </w:pPr>
    </w:p>
    <w:p>
      <w:pPr>
        <w:rPr>
          <w:rFonts w:ascii="Tahoma" w:hAnsi="Tahoma" w:cs="Tahoma"/>
          <w:b/>
          <w:color w:val="000000"/>
          <w:sz w:val="60"/>
          <w:szCs w:val="60"/>
        </w:rPr>
      </w:pPr>
      <w:r>
        <w:rPr>
          <w:rFonts w:ascii="Tahoma" w:hAnsi="Tahoma" w:cs="Tahoma"/>
          <w:b/>
          <w:color w:val="000000"/>
          <w:sz w:val="60"/>
          <w:szCs w:val="60"/>
        </w:rPr>
        <w:t>BAB I</w:t>
      </w:r>
    </w:p>
    <w:p>
      <w:pPr>
        <w:autoSpaceDE w:val="0"/>
        <w:autoSpaceDN w:val="0"/>
        <w:adjustRightInd w:val="0"/>
        <w:spacing w:after="0" w:line="240" w:lineRule="auto"/>
        <w:rPr>
          <w:rFonts w:ascii="Tahoma" w:hAnsi="Tahoma" w:cs="Tahoma"/>
          <w:b/>
          <w:bCs/>
          <w:color w:val="000000"/>
          <w:sz w:val="60"/>
          <w:szCs w:val="60"/>
          <w:lang w:val="id-ID"/>
        </w:rPr>
      </w:pPr>
      <w:r>
        <w:rPr>
          <w:rFonts w:ascii="Tahoma" w:hAnsi="Tahoma" w:cs="Tahoma"/>
          <w:b/>
          <w:bCs/>
          <w:color w:val="000000"/>
          <w:sz w:val="60"/>
          <w:szCs w:val="60"/>
        </w:rPr>
        <w:t>PENDAHULUAN</w:t>
      </w:r>
    </w:p>
    <w:p>
      <w:pPr>
        <w:spacing w:before="120" w:after="0" w:line="360" w:lineRule="auto"/>
        <w:ind w:left="544"/>
        <w:jc w:val="both"/>
        <w:rPr>
          <w:color w:val="000000"/>
          <w:sz w:val="28"/>
          <w:szCs w:val="28"/>
          <w:lang w:val="id-ID"/>
        </w:rPr>
      </w:pPr>
    </w:p>
    <w:p>
      <w:pPr>
        <w:pStyle w:val="30"/>
        <w:numPr>
          <w:ilvl w:val="0"/>
          <w:numId w:val="13"/>
        </w:numPr>
        <w:spacing w:before="120" w:after="0" w:line="360" w:lineRule="auto"/>
        <w:ind w:left="567" w:hanging="567"/>
        <w:jc w:val="both"/>
        <w:rPr>
          <w:rFonts w:ascii="Tahoma" w:hAnsi="Tahoma" w:cs="Tahoma"/>
          <w:b/>
          <w:color w:val="000000"/>
          <w:sz w:val="28"/>
          <w:szCs w:val="28"/>
          <w:lang w:val="id-ID"/>
        </w:rPr>
      </w:pPr>
      <w:r>
        <w:rPr>
          <w:rFonts w:ascii="Tahoma" w:hAnsi="Tahoma" w:cs="Tahoma"/>
          <w:b/>
          <w:color w:val="000000"/>
          <w:sz w:val="28"/>
          <w:szCs w:val="28"/>
          <w:lang w:val="id-ID"/>
        </w:rPr>
        <w:t>LATAR BELAKANG</w:t>
      </w:r>
    </w:p>
    <w:p>
      <w:pPr>
        <w:spacing w:before="120" w:after="0" w:line="360" w:lineRule="auto"/>
        <w:ind w:left="544"/>
        <w:jc w:val="both"/>
        <w:rPr>
          <w:rFonts w:ascii="Tahoma" w:hAnsi="Tahoma" w:cs="Tahoma"/>
          <w:color w:val="000000"/>
          <w:lang w:val="id-ID"/>
        </w:rPr>
      </w:pPr>
      <w:r>
        <w:rPr>
          <w:rFonts w:ascii="Tahoma" w:hAnsi="Tahoma" w:cs="Tahoma"/>
          <w:color w:val="000000"/>
          <w:lang w:val="id-ID"/>
        </w:rPr>
        <w:t xml:space="preserve">Penyusunan Laporan Kinerja Instansi Badan Keuangan Daerah Provinsi Sumatera Barat berdasarkan pada Peraturan Presiden </w:t>
      </w:r>
      <w:r>
        <w:rPr>
          <w:rFonts w:ascii="Tahoma" w:hAnsi="Tahoma" w:cs="Tahoma"/>
          <w:color w:val="000000"/>
        </w:rPr>
        <w:t>N</w:t>
      </w:r>
      <w:r>
        <w:rPr>
          <w:rFonts w:ascii="Tahoma" w:hAnsi="Tahoma" w:cs="Tahoma"/>
          <w:color w:val="000000"/>
          <w:lang w:val="id-ID"/>
        </w:rPr>
        <w:t xml:space="preserve">omor 29 </w:t>
      </w:r>
      <w:r>
        <w:rPr>
          <w:rFonts w:ascii="Tahoma" w:hAnsi="Tahoma" w:cs="Tahoma"/>
          <w:color w:val="000000"/>
        </w:rPr>
        <w:t>T</w:t>
      </w:r>
      <w:r>
        <w:rPr>
          <w:rFonts w:ascii="Tahoma" w:hAnsi="Tahoma" w:cs="Tahoma"/>
          <w:color w:val="000000"/>
          <w:lang w:val="id-ID"/>
        </w:rPr>
        <w:t xml:space="preserve">ahun 2014 tentang </w:t>
      </w:r>
      <w:r>
        <w:rPr>
          <w:rFonts w:ascii="Tahoma" w:hAnsi="Tahoma" w:cs="Tahoma"/>
          <w:color w:val="000000"/>
        </w:rPr>
        <w:t>Sistem Akuntabilitas Kinerja Instansi Pemerintah (</w:t>
      </w:r>
      <w:r>
        <w:rPr>
          <w:rFonts w:ascii="Tahoma" w:hAnsi="Tahoma" w:cs="Tahoma"/>
          <w:color w:val="000000"/>
          <w:lang w:val="id-ID"/>
        </w:rPr>
        <w:t>SAKIP</w:t>
      </w:r>
      <w:r>
        <w:rPr>
          <w:rFonts w:ascii="Tahoma" w:hAnsi="Tahoma" w:cs="Tahoma"/>
          <w:color w:val="000000"/>
        </w:rPr>
        <w:t>)</w:t>
      </w:r>
      <w:r>
        <w:rPr>
          <w:rFonts w:ascii="Tahoma" w:hAnsi="Tahoma" w:cs="Tahoma"/>
          <w:color w:val="000000"/>
          <w:lang w:val="id-ID"/>
        </w:rPr>
        <w:t>. Pelaksanaan lebih lanjut didasarkan pada Per</w:t>
      </w:r>
      <w:r>
        <w:rPr>
          <w:rFonts w:ascii="Tahoma" w:hAnsi="Tahoma" w:cs="Tahoma"/>
          <w:color w:val="000000"/>
        </w:rPr>
        <w:t>aturan Menteri</w:t>
      </w:r>
      <w:r>
        <w:rPr>
          <w:rFonts w:hint="default" w:ascii="Tahoma" w:hAnsi="Tahoma" w:cs="Tahoma"/>
          <w:color w:val="000000"/>
          <w:lang w:val="en-US"/>
        </w:rPr>
        <w:t xml:space="preserve"> </w:t>
      </w:r>
      <w:r>
        <w:rPr>
          <w:rFonts w:ascii="Tahoma" w:hAnsi="Tahoma" w:cs="Tahoma"/>
          <w:color w:val="000000"/>
          <w:lang w:val="id-ID"/>
        </w:rPr>
        <w:t xml:space="preserve">Pendayagunaan Aparatur Negara dan Reformasi Birokrasi </w:t>
      </w:r>
      <w:r>
        <w:rPr>
          <w:rFonts w:ascii="Tahoma" w:hAnsi="Tahoma" w:cs="Tahoma"/>
          <w:color w:val="000000"/>
        </w:rPr>
        <w:t>N</w:t>
      </w:r>
      <w:r>
        <w:rPr>
          <w:rFonts w:ascii="Tahoma" w:hAnsi="Tahoma" w:cs="Tahoma"/>
          <w:color w:val="000000"/>
          <w:lang w:val="id-ID"/>
        </w:rPr>
        <w:t xml:space="preserve">omor 53 </w:t>
      </w:r>
      <w:r>
        <w:rPr>
          <w:rFonts w:ascii="Tahoma" w:hAnsi="Tahoma" w:cs="Tahoma"/>
          <w:color w:val="000000"/>
        </w:rPr>
        <w:t>T</w:t>
      </w:r>
      <w:r>
        <w:rPr>
          <w:rFonts w:ascii="Tahoma" w:hAnsi="Tahoma" w:cs="Tahoma"/>
          <w:color w:val="000000"/>
          <w:lang w:val="id-ID"/>
        </w:rPr>
        <w:t xml:space="preserve">ahun 2014 tentang Petunjuk Teknis Perjanjian Kinerja, Pelaporan </w:t>
      </w:r>
      <w:r>
        <w:rPr>
          <w:rFonts w:ascii="Tahoma" w:hAnsi="Tahoma" w:cs="Tahoma"/>
          <w:color w:val="000000"/>
        </w:rPr>
        <w:t>Kinerja dan Tata Cara R</w:t>
      </w:r>
      <w:r>
        <w:rPr>
          <w:rFonts w:ascii="Tahoma" w:hAnsi="Tahoma" w:cs="Tahoma"/>
          <w:color w:val="000000"/>
          <w:lang w:val="id-ID"/>
        </w:rPr>
        <w:t xml:space="preserve">eviu </w:t>
      </w:r>
      <w:r>
        <w:rPr>
          <w:rFonts w:ascii="Tahoma" w:hAnsi="Tahoma" w:cs="Tahoma"/>
          <w:color w:val="000000"/>
        </w:rPr>
        <w:t>A</w:t>
      </w:r>
      <w:r>
        <w:rPr>
          <w:rFonts w:ascii="Tahoma" w:hAnsi="Tahoma" w:cs="Tahoma"/>
          <w:color w:val="000000"/>
          <w:lang w:val="id-ID"/>
        </w:rPr>
        <w:t>tas Laporan Instansi Kinerja Pemerintah dan Per</w:t>
      </w:r>
      <w:r>
        <w:rPr>
          <w:rFonts w:ascii="Tahoma" w:hAnsi="Tahoma" w:cs="Tahoma"/>
          <w:color w:val="000000"/>
        </w:rPr>
        <w:t>aturan Gubernur Sumatera Barat</w:t>
      </w:r>
      <w:r>
        <w:rPr>
          <w:rFonts w:ascii="Tahoma" w:hAnsi="Tahoma" w:cs="Tahoma"/>
          <w:color w:val="000000"/>
          <w:lang w:val="id-ID"/>
        </w:rPr>
        <w:t xml:space="preserve"> Nomor 71 </w:t>
      </w:r>
      <w:r>
        <w:rPr>
          <w:rFonts w:ascii="Tahoma" w:hAnsi="Tahoma" w:cs="Tahoma"/>
          <w:color w:val="000000"/>
        </w:rPr>
        <w:t>T</w:t>
      </w:r>
      <w:r>
        <w:rPr>
          <w:rFonts w:ascii="Tahoma" w:hAnsi="Tahoma" w:cs="Tahoma"/>
          <w:color w:val="000000"/>
          <w:lang w:val="id-ID"/>
        </w:rPr>
        <w:t xml:space="preserve">ahun 2020 tentang Pelaksanaan Sistem Akuntabilitas Kinerja Instansi Pemerintah Di Lingkungan Pemerintah Daerah </w:t>
      </w:r>
      <w:r>
        <w:rPr>
          <w:rFonts w:ascii="Tahoma" w:hAnsi="Tahoma" w:cs="Tahoma"/>
          <w:color w:val="000000"/>
        </w:rPr>
        <w:t>P</w:t>
      </w:r>
      <w:r>
        <w:rPr>
          <w:rFonts w:ascii="Tahoma" w:hAnsi="Tahoma" w:cs="Tahoma"/>
          <w:color w:val="000000"/>
          <w:lang w:val="id-ID"/>
        </w:rPr>
        <w:t>rovinsi Sumatera Barat.</w:t>
      </w:r>
    </w:p>
    <w:p>
      <w:pPr>
        <w:spacing w:before="120" w:after="0" w:line="360" w:lineRule="auto"/>
        <w:ind w:left="544"/>
        <w:jc w:val="both"/>
        <w:rPr>
          <w:rFonts w:ascii="Tahoma" w:hAnsi="Tahoma" w:cs="Tahoma"/>
          <w:color w:val="000000"/>
          <w:lang w:val="id-ID"/>
        </w:rPr>
      </w:pPr>
      <w:r>
        <w:rPr>
          <w:rFonts w:ascii="Tahoma" w:hAnsi="Tahoma" w:cs="Tahoma"/>
          <w:color w:val="000000"/>
          <w:lang w:val="id-ID"/>
        </w:rPr>
        <w:t xml:space="preserve">Dengan disusunnya Laporan Kinerja Instansi Pemerintah Badan Keuangan Daerah Provinsi Sumatera Barat </w:t>
      </w:r>
      <w:r>
        <w:rPr>
          <w:rFonts w:ascii="Tahoma" w:hAnsi="Tahoma" w:cs="Tahoma"/>
          <w:color w:val="000000"/>
        </w:rPr>
        <w:t>T</w:t>
      </w:r>
      <w:r>
        <w:rPr>
          <w:rFonts w:ascii="Tahoma" w:hAnsi="Tahoma" w:cs="Tahoma"/>
          <w:color w:val="000000"/>
          <w:lang w:val="id-ID"/>
        </w:rPr>
        <w:t>ahun 2020 diharapkan dapat :</w:t>
      </w:r>
    </w:p>
    <w:p>
      <w:pPr>
        <w:pStyle w:val="30"/>
        <w:numPr>
          <w:ilvl w:val="0"/>
          <w:numId w:val="14"/>
        </w:numPr>
        <w:spacing w:before="120" w:after="0" w:line="360" w:lineRule="auto"/>
        <w:jc w:val="both"/>
        <w:rPr>
          <w:rFonts w:ascii="Tahoma" w:hAnsi="Tahoma" w:cs="Tahoma"/>
          <w:color w:val="000000"/>
          <w:lang w:val="id-ID"/>
        </w:rPr>
      </w:pPr>
      <w:r>
        <w:rPr>
          <w:rFonts w:ascii="Tahoma" w:hAnsi="Tahoma" w:cs="Tahoma"/>
          <w:color w:val="000000"/>
          <w:lang w:val="id-ID"/>
        </w:rPr>
        <w:t xml:space="preserve">Memberikan </w:t>
      </w:r>
      <w:r>
        <w:rPr>
          <w:rFonts w:ascii="Tahoma" w:hAnsi="Tahoma" w:cs="Tahoma"/>
          <w:color w:val="000000"/>
        </w:rPr>
        <w:t>i</w:t>
      </w:r>
      <w:r>
        <w:rPr>
          <w:rFonts w:ascii="Tahoma" w:hAnsi="Tahoma" w:cs="Tahoma"/>
          <w:color w:val="000000"/>
          <w:lang w:val="id-ID"/>
        </w:rPr>
        <w:t>nformasi kinerja yang terukur kepada pemberi mandat atas kinerja yang telah ditetapkan dan seharusnya dicapai Badan Keuangan Daerah Provinsi Sumatera Barat</w:t>
      </w:r>
      <w:r>
        <w:rPr>
          <w:rFonts w:ascii="Tahoma" w:hAnsi="Tahoma" w:cs="Tahoma"/>
          <w:color w:val="000000"/>
        </w:rPr>
        <w:t>.</w:t>
      </w:r>
    </w:p>
    <w:p>
      <w:pPr>
        <w:pStyle w:val="30"/>
        <w:numPr>
          <w:ilvl w:val="0"/>
          <w:numId w:val="14"/>
        </w:numPr>
        <w:spacing w:before="120" w:after="0" w:line="360" w:lineRule="auto"/>
        <w:jc w:val="both"/>
        <w:rPr>
          <w:rFonts w:ascii="Tahoma" w:hAnsi="Tahoma" w:cs="Tahoma"/>
          <w:color w:val="000000"/>
          <w:lang w:val="id-ID"/>
        </w:rPr>
      </w:pPr>
      <w:r>
        <w:rPr>
          <w:rFonts w:ascii="Tahoma" w:hAnsi="Tahoma" w:cs="Tahoma"/>
          <w:color w:val="000000"/>
          <w:lang w:val="id-ID"/>
        </w:rPr>
        <w:t>Mendorong Badan Keuangan Daerah Provinsi Sumatera Barat di dalam melaksanakan tugas dan fungsinya secara baik dan benar yang didasarkan pada Peraturan Perundangan, kebijakan yang transparan dan dapat dipertanggung jawabkan kepada masyarakat.</w:t>
      </w:r>
    </w:p>
    <w:p>
      <w:pPr>
        <w:pStyle w:val="30"/>
        <w:numPr>
          <w:ilvl w:val="0"/>
          <w:numId w:val="14"/>
        </w:numPr>
        <w:spacing w:before="120" w:after="0" w:line="360" w:lineRule="auto"/>
        <w:jc w:val="both"/>
        <w:rPr>
          <w:rFonts w:ascii="Tahoma" w:hAnsi="Tahoma" w:cs="Tahoma"/>
          <w:color w:val="000000"/>
          <w:lang w:val="id-ID"/>
        </w:rPr>
      </w:pPr>
      <w:r>
        <w:rPr>
          <w:rFonts w:ascii="Tahoma" w:hAnsi="Tahoma" w:cs="Tahoma"/>
          <w:color w:val="000000"/>
          <w:lang w:val="id-ID"/>
        </w:rPr>
        <w:t>Sebagai upaya perbaikan berkesinambungan Badan Keuangan Daerah Provinsi Sumatera Barat untuk meningkatkan kinerjanya.</w:t>
      </w:r>
    </w:p>
    <w:p>
      <w:pPr>
        <w:pStyle w:val="30"/>
        <w:numPr>
          <w:ilvl w:val="0"/>
          <w:numId w:val="14"/>
        </w:numPr>
        <w:spacing w:before="120" w:after="0" w:line="360" w:lineRule="auto"/>
        <w:jc w:val="both"/>
        <w:rPr>
          <w:rFonts w:ascii="Tahoma" w:hAnsi="Tahoma" w:cs="Tahoma"/>
          <w:color w:val="000000"/>
          <w:lang w:val="id-ID"/>
        </w:rPr>
      </w:pPr>
      <w:r>
        <w:rPr>
          <w:rFonts w:ascii="Tahoma" w:hAnsi="Tahoma" w:cs="Tahoma"/>
          <w:color w:val="000000"/>
          <w:lang w:val="id-ID"/>
        </w:rPr>
        <w:t>Terpeliharanya kepercayaan masyarakat di Sumatera Barat terhadap</w:t>
      </w:r>
      <w:r>
        <w:rPr>
          <w:rFonts w:hint="default" w:ascii="Tahoma" w:hAnsi="Tahoma" w:cs="Tahoma"/>
          <w:color w:val="000000"/>
          <w:lang w:val="en-US"/>
        </w:rPr>
        <w:t xml:space="preserve"> </w:t>
      </w:r>
      <w:r>
        <w:rPr>
          <w:rFonts w:ascii="Tahoma" w:hAnsi="Tahoma" w:cs="Tahoma"/>
          <w:color w:val="000000"/>
          <w:lang w:val="id-ID"/>
        </w:rPr>
        <w:t>Badan Keuangan Daerah Provinsi Sumatera Barat di dalam pelaksanaan program kegiatan dalam rangka peningkatan kesejahteraan masyarakat.</w:t>
      </w:r>
    </w:p>
    <w:p>
      <w:pPr>
        <w:pStyle w:val="30"/>
        <w:spacing w:before="120" w:after="0" w:line="360" w:lineRule="auto"/>
        <w:ind w:left="0"/>
        <w:jc w:val="both"/>
        <w:rPr>
          <w:rFonts w:ascii="Tahoma" w:hAnsi="Tahoma" w:cs="Tahoma"/>
          <w:color w:val="000000"/>
          <w:lang w:val="id-ID"/>
        </w:rPr>
      </w:pPr>
    </w:p>
    <w:p>
      <w:pPr>
        <w:pStyle w:val="30"/>
        <w:spacing w:before="120" w:after="0" w:line="360" w:lineRule="auto"/>
        <w:ind w:left="0"/>
        <w:jc w:val="both"/>
        <w:rPr>
          <w:color w:val="000000"/>
          <w:sz w:val="24"/>
          <w:szCs w:val="24"/>
          <w:lang w:val="id-ID"/>
        </w:rPr>
      </w:pPr>
    </w:p>
    <w:p>
      <w:pPr>
        <w:pStyle w:val="30"/>
        <w:numPr>
          <w:ilvl w:val="0"/>
          <w:numId w:val="13"/>
        </w:numPr>
        <w:spacing w:afterLines="100" w:line="240" w:lineRule="auto"/>
        <w:ind w:left="567" w:hanging="567"/>
        <w:jc w:val="both"/>
        <w:rPr>
          <w:b/>
          <w:bCs/>
          <w:color w:val="000000"/>
          <w:sz w:val="28"/>
          <w:szCs w:val="28"/>
        </w:rPr>
      </w:pPr>
      <w:r>
        <w:rPr>
          <w:b/>
          <w:bCs/>
          <w:color w:val="000000"/>
          <w:sz w:val="28"/>
          <w:szCs w:val="28"/>
          <w:lang w:val="id-ID"/>
        </w:rPr>
        <w:t>GAMBARAN ORGANISASI</w:t>
      </w:r>
    </w:p>
    <w:p>
      <w:pPr>
        <w:pStyle w:val="10"/>
        <w:numPr>
          <w:ilvl w:val="0"/>
          <w:numId w:val="15"/>
        </w:numPr>
        <w:spacing w:before="120"/>
        <w:ind w:left="893" w:hanging="326"/>
        <w:rPr>
          <w:rFonts w:ascii="Tahoma" w:hAnsi="Tahoma" w:cs="Tahoma"/>
          <w:b/>
          <w:bCs/>
          <w:color w:val="000000"/>
          <w:sz w:val="22"/>
          <w:szCs w:val="22"/>
          <w:lang w:val="id-ID"/>
        </w:rPr>
      </w:pPr>
      <w:r>
        <w:rPr>
          <w:rFonts w:ascii="Tahoma" w:hAnsi="Tahoma" w:cs="Tahoma"/>
          <w:b/>
          <w:bCs/>
          <w:color w:val="000000"/>
          <w:sz w:val="22"/>
          <w:szCs w:val="22"/>
          <w:lang w:val="id-ID"/>
        </w:rPr>
        <w:t>Dasar Pembentukan Organisasi</w:t>
      </w:r>
    </w:p>
    <w:p>
      <w:pPr>
        <w:pStyle w:val="30"/>
        <w:spacing w:after="240" w:line="360" w:lineRule="auto"/>
        <w:ind w:left="880"/>
        <w:jc w:val="both"/>
        <w:rPr>
          <w:rFonts w:ascii="Tahoma" w:hAnsi="Tahoma" w:eastAsia="Batang" w:cs="Tahoma"/>
          <w:lang w:val="id-ID"/>
        </w:rPr>
      </w:pPr>
      <w:r>
        <w:rPr>
          <w:rFonts w:ascii="Tahoma" w:hAnsi="Tahoma" w:eastAsia="Batang" w:cs="Tahoma"/>
          <w:lang w:val="id-ID"/>
        </w:rPr>
        <w:t>Berdasarkan</w:t>
      </w:r>
      <w:r>
        <w:rPr>
          <w:rFonts w:ascii="Tahoma" w:hAnsi="Tahoma" w:eastAsia="Batang" w:cs="Tahoma"/>
        </w:rPr>
        <w:t xml:space="preserve"> Peraturan Daerah Nomor </w:t>
      </w:r>
      <w:r>
        <w:rPr>
          <w:rFonts w:ascii="Tahoma" w:hAnsi="Tahoma" w:eastAsia="Batang" w:cs="Tahoma"/>
          <w:lang w:val="id-ID"/>
        </w:rPr>
        <w:t>8 Tahun 2016</w:t>
      </w:r>
      <w:r>
        <w:rPr>
          <w:rFonts w:ascii="Tahoma" w:hAnsi="Tahoma" w:eastAsia="Batang" w:cs="Tahoma"/>
        </w:rPr>
        <w:t xml:space="preserve"> tentang </w:t>
      </w:r>
      <w:r>
        <w:rPr>
          <w:rFonts w:ascii="Tahoma" w:hAnsi="Tahoma" w:eastAsia="Batang" w:cs="Tahoma"/>
          <w:lang w:val="id-ID"/>
        </w:rPr>
        <w:t>Pembentukan Organisasi dan Susunan Perangkat Daerah Provinsi Sumatera Barat</w:t>
      </w:r>
      <w:r>
        <w:rPr>
          <w:rFonts w:hint="default" w:ascii="Tahoma" w:hAnsi="Tahoma" w:eastAsia="Batang" w:cs="Tahoma"/>
          <w:lang w:val="en-US"/>
        </w:rPr>
        <w:t xml:space="preserve"> </w:t>
      </w:r>
      <w:bookmarkStart w:id="0" w:name="_GoBack"/>
      <w:bookmarkEnd w:id="0"/>
      <w:r>
        <w:rPr>
          <w:rFonts w:ascii="Tahoma" w:hAnsi="Tahoma" w:eastAsia="Batang" w:cs="Tahoma"/>
          <w:lang w:val="id-ID"/>
        </w:rPr>
        <w:t>dan</w:t>
      </w:r>
      <w:r>
        <w:rPr>
          <w:rFonts w:ascii="Tahoma" w:hAnsi="Tahoma" w:eastAsia="Batang" w:cs="Tahoma"/>
        </w:rPr>
        <w:t xml:space="preserve"> Peraturan Gubenur </w:t>
      </w:r>
      <w:r>
        <w:rPr>
          <w:rFonts w:ascii="Tahoma" w:hAnsi="Tahoma" w:eastAsia="Batang" w:cs="Tahoma"/>
          <w:lang w:val="id-ID"/>
        </w:rPr>
        <w:t xml:space="preserve">Sumatera Barat </w:t>
      </w:r>
      <w:r>
        <w:rPr>
          <w:rFonts w:ascii="Tahoma" w:hAnsi="Tahoma" w:eastAsia="Batang" w:cs="Tahoma"/>
        </w:rPr>
        <w:t xml:space="preserve">Nomor </w:t>
      </w:r>
      <w:r>
        <w:rPr>
          <w:rFonts w:ascii="Tahoma" w:hAnsi="Tahoma" w:eastAsia="Batang" w:cs="Tahoma"/>
          <w:lang w:val="id-ID"/>
        </w:rPr>
        <w:t>45</w:t>
      </w:r>
      <w:r>
        <w:rPr>
          <w:rFonts w:ascii="Tahoma" w:hAnsi="Tahoma" w:eastAsia="Batang" w:cs="Tahoma"/>
        </w:rPr>
        <w:t xml:space="preserve"> Tahun 201</w:t>
      </w:r>
      <w:r>
        <w:rPr>
          <w:rFonts w:ascii="Tahoma" w:hAnsi="Tahoma" w:eastAsia="Batang" w:cs="Tahoma"/>
          <w:lang w:val="id-ID"/>
        </w:rPr>
        <w:t>7 tentang Uraian Tugas Pokok dan Fungsi Badan Keuangan Daerah</w:t>
      </w:r>
      <w:r>
        <w:rPr>
          <w:rFonts w:ascii="Tahoma" w:hAnsi="Tahoma" w:eastAsia="Batang" w:cs="Tahoma"/>
        </w:rPr>
        <w:t xml:space="preserve">, </w:t>
      </w:r>
      <w:r>
        <w:rPr>
          <w:rFonts w:ascii="Tahoma" w:hAnsi="Tahoma" w:eastAsia="Batang" w:cs="Tahoma"/>
          <w:lang w:val="id-ID"/>
        </w:rPr>
        <w:t>ditetapkan Badan Keuangan Daerah.</w:t>
      </w:r>
    </w:p>
    <w:p>
      <w:pPr>
        <w:pStyle w:val="10"/>
        <w:numPr>
          <w:ilvl w:val="0"/>
          <w:numId w:val="15"/>
        </w:numPr>
        <w:spacing w:before="240" w:line="240" w:lineRule="auto"/>
        <w:ind w:left="893" w:hanging="326"/>
        <w:rPr>
          <w:rFonts w:ascii="Tahoma" w:hAnsi="Tahoma" w:cs="Tahoma"/>
          <w:b/>
          <w:bCs/>
          <w:color w:val="000000"/>
          <w:sz w:val="22"/>
          <w:szCs w:val="22"/>
          <w:lang w:val="id-ID"/>
        </w:rPr>
      </w:pPr>
      <w:r>
        <w:rPr>
          <w:rFonts w:ascii="Tahoma" w:hAnsi="Tahoma" w:cs="Tahoma"/>
          <w:b/>
          <w:bCs/>
          <w:color w:val="000000"/>
          <w:sz w:val="22"/>
          <w:szCs w:val="22"/>
          <w:lang w:val="id-ID"/>
        </w:rPr>
        <w:t>Tugas Pokok</w:t>
      </w:r>
    </w:p>
    <w:p>
      <w:pPr>
        <w:pStyle w:val="10"/>
        <w:tabs>
          <w:tab w:val="left" w:pos="1800"/>
        </w:tabs>
        <w:spacing w:before="120"/>
        <w:ind w:left="858" w:leftChars="390" w:firstLine="17" w:firstLineChars="8"/>
        <w:rPr>
          <w:rFonts w:ascii="Tahoma" w:hAnsi="Tahoma" w:cs="Tahoma"/>
          <w:color w:val="000000"/>
          <w:sz w:val="22"/>
          <w:szCs w:val="22"/>
          <w:lang w:val="id-ID"/>
        </w:rPr>
      </w:pPr>
      <w:r>
        <w:rPr>
          <w:rFonts w:ascii="Tahoma" w:hAnsi="Tahoma" w:cs="Tahoma"/>
          <w:color w:val="000000"/>
          <w:sz w:val="22"/>
          <w:szCs w:val="22"/>
          <w:lang w:val="id-ID"/>
        </w:rPr>
        <w:t xml:space="preserve">Sesuai dengan Peraturan Gubernur Sumatera Barat Nomor 45 Tahun 2017 tentang Rincian Tugas Pokok, Fungsi dan Tata Kerja Badan Keuangan Daerah Provinsi Sumatera Barat pada </w:t>
      </w:r>
      <w:r>
        <w:rPr>
          <w:rFonts w:ascii="Tahoma" w:hAnsi="Tahoma" w:cs="Tahoma"/>
          <w:color w:val="000000"/>
          <w:sz w:val="22"/>
          <w:szCs w:val="22"/>
        </w:rPr>
        <w:t>Bab</w:t>
      </w:r>
      <w:r>
        <w:rPr>
          <w:rFonts w:ascii="Tahoma" w:hAnsi="Tahoma" w:cs="Tahoma"/>
          <w:color w:val="000000"/>
          <w:sz w:val="22"/>
          <w:szCs w:val="22"/>
          <w:lang w:val="id-ID"/>
        </w:rPr>
        <w:t xml:space="preserve"> II Bagian Kesatu Pasal 2 ayat 1 menyebutkan bahwa Badan Keuangan Daerah mempunyai </w:t>
      </w:r>
      <w:r>
        <w:rPr>
          <w:rFonts w:ascii="Tahoma" w:hAnsi="Tahoma" w:cs="Tahoma"/>
          <w:color w:val="000000"/>
          <w:sz w:val="22"/>
          <w:szCs w:val="22"/>
        </w:rPr>
        <w:t>t</w:t>
      </w:r>
      <w:r>
        <w:rPr>
          <w:rFonts w:ascii="Tahoma" w:hAnsi="Tahoma" w:cs="Tahoma"/>
          <w:color w:val="000000"/>
          <w:sz w:val="22"/>
          <w:szCs w:val="22"/>
          <w:lang w:val="id-ID"/>
        </w:rPr>
        <w:t xml:space="preserve">ugas </w:t>
      </w:r>
      <w:r>
        <w:rPr>
          <w:rFonts w:ascii="Tahoma" w:hAnsi="Tahoma" w:cs="Tahoma"/>
          <w:color w:val="000000"/>
          <w:sz w:val="22"/>
          <w:szCs w:val="22"/>
        </w:rPr>
        <w:t>p</w:t>
      </w:r>
      <w:r>
        <w:rPr>
          <w:rFonts w:ascii="Tahoma" w:hAnsi="Tahoma" w:cs="Tahoma"/>
          <w:color w:val="000000"/>
          <w:sz w:val="22"/>
          <w:szCs w:val="22"/>
          <w:lang w:val="id-ID"/>
        </w:rPr>
        <w:t xml:space="preserve">okok melaksanakan urusan </w:t>
      </w:r>
      <w:r>
        <w:rPr>
          <w:rFonts w:ascii="Tahoma" w:hAnsi="Tahoma" w:cs="Tahoma"/>
          <w:color w:val="000000"/>
          <w:sz w:val="22"/>
          <w:szCs w:val="22"/>
        </w:rPr>
        <w:t>p</w:t>
      </w:r>
      <w:r>
        <w:rPr>
          <w:rFonts w:ascii="Tahoma" w:hAnsi="Tahoma" w:cs="Tahoma"/>
          <w:color w:val="000000"/>
          <w:sz w:val="22"/>
          <w:szCs w:val="22"/>
          <w:lang w:val="id-ID"/>
        </w:rPr>
        <w:t>emerintahan yang menjadi kewenangan daerah di bidang keuangan daerah.</w:t>
      </w:r>
    </w:p>
    <w:p>
      <w:pPr>
        <w:pStyle w:val="10"/>
        <w:tabs>
          <w:tab w:val="left" w:pos="1800"/>
        </w:tabs>
        <w:ind w:left="858" w:leftChars="390" w:firstLine="17" w:firstLineChars="8"/>
        <w:rPr>
          <w:rFonts w:ascii="Tahoma" w:hAnsi="Tahoma" w:cs="Tahoma"/>
          <w:color w:val="000000"/>
          <w:sz w:val="22"/>
          <w:szCs w:val="22"/>
          <w:lang w:val="id-ID"/>
        </w:rPr>
      </w:pPr>
      <w:r>
        <w:rPr>
          <w:rFonts w:ascii="Tahoma" w:hAnsi="Tahoma" w:cs="Tahoma"/>
          <w:color w:val="000000"/>
          <w:sz w:val="22"/>
          <w:szCs w:val="22"/>
          <w:lang w:val="id-ID"/>
        </w:rPr>
        <w:t xml:space="preserve">Untuk menyelenggarakan Tugas Pokok sebagiamana maksud diatas maka Badan Keuangan Daerah mempunyai fungsi : </w:t>
      </w:r>
    </w:p>
    <w:p>
      <w:pPr>
        <w:pStyle w:val="10"/>
        <w:numPr>
          <w:ilvl w:val="0"/>
          <w:numId w:val="16"/>
        </w:numPr>
        <w:tabs>
          <w:tab w:val="clear" w:pos="425"/>
        </w:tabs>
        <w:ind w:left="1305"/>
        <w:rPr>
          <w:rFonts w:ascii="Tahoma" w:hAnsi="Tahoma" w:cs="Tahoma"/>
          <w:color w:val="000000"/>
          <w:sz w:val="22"/>
          <w:szCs w:val="22"/>
          <w:lang w:val="id-ID"/>
        </w:rPr>
      </w:pPr>
      <w:r>
        <w:rPr>
          <w:rFonts w:ascii="Tahoma" w:hAnsi="Tahoma" w:cs="Tahoma"/>
          <w:color w:val="000000"/>
          <w:sz w:val="22"/>
          <w:szCs w:val="22"/>
          <w:lang w:val="id-ID"/>
        </w:rPr>
        <w:t>Perumusan kebijakan teknis di bidang Keuangan Daerah</w:t>
      </w:r>
      <w:r>
        <w:rPr>
          <w:rFonts w:ascii="Tahoma" w:hAnsi="Tahoma" w:cs="Tahoma"/>
          <w:color w:val="000000"/>
          <w:sz w:val="22"/>
          <w:szCs w:val="22"/>
        </w:rPr>
        <w:t>.</w:t>
      </w:r>
    </w:p>
    <w:p>
      <w:pPr>
        <w:pStyle w:val="10"/>
        <w:numPr>
          <w:ilvl w:val="0"/>
          <w:numId w:val="16"/>
        </w:numPr>
        <w:tabs>
          <w:tab w:val="clear" w:pos="425"/>
        </w:tabs>
        <w:ind w:left="1305"/>
        <w:rPr>
          <w:rFonts w:ascii="Tahoma" w:hAnsi="Tahoma" w:cs="Tahoma"/>
          <w:color w:val="000000"/>
          <w:sz w:val="22"/>
          <w:szCs w:val="22"/>
          <w:lang w:val="id-ID"/>
        </w:rPr>
      </w:pPr>
      <w:r>
        <w:rPr>
          <w:rFonts w:ascii="Tahoma" w:hAnsi="Tahoma" w:cs="Tahoma"/>
          <w:color w:val="000000"/>
          <w:sz w:val="22"/>
          <w:szCs w:val="22"/>
          <w:lang w:val="id-ID"/>
        </w:rPr>
        <w:t>Penyelenggaraan urusan pemerintahan dan pelayanan umum bidang keuangan</w:t>
      </w:r>
      <w:r>
        <w:rPr>
          <w:rFonts w:ascii="Tahoma" w:hAnsi="Tahoma" w:cs="Tahoma"/>
          <w:color w:val="000000"/>
          <w:sz w:val="22"/>
          <w:szCs w:val="22"/>
        </w:rPr>
        <w:t>.</w:t>
      </w:r>
    </w:p>
    <w:p>
      <w:pPr>
        <w:pStyle w:val="10"/>
        <w:numPr>
          <w:ilvl w:val="0"/>
          <w:numId w:val="16"/>
        </w:numPr>
        <w:tabs>
          <w:tab w:val="clear" w:pos="425"/>
        </w:tabs>
        <w:ind w:left="1305"/>
        <w:rPr>
          <w:rFonts w:ascii="Tahoma" w:hAnsi="Tahoma" w:cs="Tahoma"/>
          <w:color w:val="000000"/>
          <w:sz w:val="22"/>
          <w:szCs w:val="22"/>
          <w:lang w:val="id-ID"/>
        </w:rPr>
      </w:pPr>
      <w:r>
        <w:rPr>
          <w:rFonts w:ascii="Tahoma" w:hAnsi="Tahoma" w:cs="Tahoma"/>
          <w:color w:val="000000"/>
          <w:sz w:val="22"/>
          <w:szCs w:val="22"/>
          <w:lang w:val="id-ID"/>
        </w:rPr>
        <w:t>Pembinaan dan Pelaksanaan urusan di bidang keuangan daerah</w:t>
      </w:r>
      <w:r>
        <w:rPr>
          <w:rFonts w:ascii="Tahoma" w:hAnsi="Tahoma" w:cs="Tahoma"/>
          <w:color w:val="000000"/>
          <w:sz w:val="22"/>
          <w:szCs w:val="22"/>
        </w:rPr>
        <w:t>.</w:t>
      </w:r>
    </w:p>
    <w:p>
      <w:pPr>
        <w:pStyle w:val="10"/>
        <w:numPr>
          <w:ilvl w:val="0"/>
          <w:numId w:val="16"/>
        </w:numPr>
        <w:tabs>
          <w:tab w:val="clear" w:pos="425"/>
        </w:tabs>
        <w:ind w:left="1305"/>
        <w:rPr>
          <w:rFonts w:ascii="Tahoma" w:hAnsi="Tahoma" w:cs="Tahoma"/>
          <w:color w:val="000000"/>
          <w:sz w:val="22"/>
          <w:szCs w:val="22"/>
          <w:lang w:val="id-ID"/>
        </w:rPr>
      </w:pPr>
      <w:r>
        <w:rPr>
          <w:rFonts w:ascii="Tahoma" w:hAnsi="Tahoma" w:cs="Tahoma"/>
          <w:color w:val="000000"/>
          <w:sz w:val="22"/>
          <w:szCs w:val="22"/>
        </w:rPr>
        <w:t>P</w:t>
      </w:r>
      <w:r>
        <w:rPr>
          <w:rFonts w:ascii="Tahoma" w:hAnsi="Tahoma" w:cs="Tahoma"/>
          <w:color w:val="000000"/>
          <w:sz w:val="22"/>
          <w:szCs w:val="22"/>
          <w:lang w:val="id-ID"/>
        </w:rPr>
        <w:t>elaksanaan tugas lain yang diberikan oleh Gubernur sesuai dengan tugas dan fungsinya</w:t>
      </w:r>
      <w:r>
        <w:rPr>
          <w:rFonts w:ascii="Tahoma" w:hAnsi="Tahoma" w:cs="Tahoma"/>
          <w:color w:val="000000"/>
          <w:sz w:val="22"/>
          <w:szCs w:val="22"/>
        </w:rPr>
        <w:t>.</w:t>
      </w:r>
    </w:p>
    <w:p>
      <w:pPr>
        <w:pStyle w:val="10"/>
        <w:tabs>
          <w:tab w:val="left" w:pos="1800"/>
        </w:tabs>
        <w:ind w:left="860" w:leftChars="391" w:firstLine="15" w:firstLineChars="7"/>
        <w:rPr>
          <w:rFonts w:ascii="Tahoma" w:hAnsi="Tahoma" w:cs="Tahoma"/>
          <w:color w:val="000000"/>
          <w:sz w:val="22"/>
          <w:szCs w:val="22"/>
          <w:lang w:val="id-ID"/>
        </w:rPr>
      </w:pPr>
      <w:r>
        <w:rPr>
          <w:rFonts w:ascii="Tahoma" w:hAnsi="Tahoma" w:cs="Tahoma"/>
          <w:color w:val="000000"/>
          <w:sz w:val="22"/>
          <w:szCs w:val="22"/>
          <w:lang w:val="id-ID"/>
        </w:rPr>
        <w:t>Disamping itu sesuai dengan Permendagri No</w:t>
      </w:r>
      <w:r>
        <w:rPr>
          <w:rFonts w:ascii="Tahoma" w:hAnsi="Tahoma" w:cs="Tahoma"/>
          <w:color w:val="000000"/>
          <w:sz w:val="22"/>
          <w:szCs w:val="22"/>
        </w:rPr>
        <w:t xml:space="preserve">mor </w:t>
      </w:r>
      <w:r>
        <w:rPr>
          <w:rFonts w:ascii="Tahoma" w:hAnsi="Tahoma" w:cs="Tahoma"/>
          <w:color w:val="000000"/>
          <w:sz w:val="22"/>
          <w:szCs w:val="22"/>
          <w:lang w:val="id-ID"/>
        </w:rPr>
        <w:t>13 Tahun 2006 Badan Keuangan Daerah sebagai PPKD dalam melaksanakan fungsi selaku BUD</w:t>
      </w:r>
      <w:r>
        <w:rPr>
          <w:rFonts w:hint="default" w:ascii="Tahoma" w:hAnsi="Tahoma" w:cs="Tahoma"/>
          <w:color w:val="000000"/>
          <w:sz w:val="22"/>
          <w:szCs w:val="22"/>
          <w:lang w:val="en-US"/>
        </w:rPr>
        <w:t xml:space="preserve"> </w:t>
      </w:r>
      <w:r>
        <w:rPr>
          <w:rFonts w:ascii="Tahoma" w:hAnsi="Tahoma" w:cs="Tahoma"/>
          <w:color w:val="000000"/>
          <w:sz w:val="22"/>
          <w:szCs w:val="22"/>
          <w:lang w:val="id-ID"/>
        </w:rPr>
        <w:t>berwewenang :</w:t>
      </w:r>
    </w:p>
    <w:p>
      <w:pPr>
        <w:pStyle w:val="10"/>
        <w:numPr>
          <w:ilvl w:val="0"/>
          <w:numId w:val="17"/>
        </w:numPr>
        <w:tabs>
          <w:tab w:val="clear" w:pos="425"/>
        </w:tabs>
        <w:ind w:left="1305"/>
        <w:rPr>
          <w:rFonts w:ascii="Tahoma" w:hAnsi="Tahoma" w:cs="Tahoma"/>
          <w:color w:val="000000"/>
          <w:sz w:val="22"/>
          <w:szCs w:val="22"/>
          <w:lang w:val="id-ID"/>
        </w:rPr>
      </w:pPr>
      <w:r>
        <w:rPr>
          <w:rFonts w:ascii="Tahoma" w:hAnsi="Tahoma" w:cs="Tahoma"/>
          <w:color w:val="000000"/>
          <w:sz w:val="22"/>
          <w:szCs w:val="22"/>
          <w:lang w:val="id-ID"/>
        </w:rPr>
        <w:t>Menyusun kebijakan dan pedoman pelaksanaan APBD</w:t>
      </w:r>
      <w:r>
        <w:rPr>
          <w:rFonts w:ascii="Tahoma" w:hAnsi="Tahoma" w:cs="Tahoma"/>
          <w:color w:val="000000"/>
          <w:sz w:val="22"/>
          <w:szCs w:val="22"/>
        </w:rPr>
        <w:t>.</w:t>
      </w:r>
    </w:p>
    <w:p>
      <w:pPr>
        <w:pStyle w:val="10"/>
        <w:numPr>
          <w:ilvl w:val="0"/>
          <w:numId w:val="17"/>
        </w:numPr>
        <w:tabs>
          <w:tab w:val="clear" w:pos="425"/>
        </w:tabs>
        <w:ind w:left="1305"/>
        <w:rPr>
          <w:rFonts w:ascii="Tahoma" w:hAnsi="Tahoma" w:cs="Tahoma"/>
          <w:color w:val="000000"/>
          <w:sz w:val="22"/>
          <w:szCs w:val="22"/>
          <w:lang w:val="id-ID"/>
        </w:rPr>
      </w:pPr>
      <w:r>
        <w:rPr>
          <w:rFonts w:ascii="Tahoma" w:hAnsi="Tahoma" w:cs="Tahoma"/>
          <w:color w:val="000000"/>
          <w:sz w:val="22"/>
          <w:szCs w:val="22"/>
          <w:lang w:val="id-ID"/>
        </w:rPr>
        <w:t>Mengesahkan DPA-SKPD/DPPA-SKPD</w:t>
      </w:r>
      <w:r>
        <w:rPr>
          <w:rFonts w:ascii="Tahoma" w:hAnsi="Tahoma" w:cs="Tahoma"/>
          <w:color w:val="000000"/>
          <w:sz w:val="22"/>
          <w:szCs w:val="22"/>
        </w:rPr>
        <w:t>.</w:t>
      </w:r>
    </w:p>
    <w:p>
      <w:pPr>
        <w:pStyle w:val="10"/>
        <w:numPr>
          <w:ilvl w:val="0"/>
          <w:numId w:val="17"/>
        </w:numPr>
        <w:tabs>
          <w:tab w:val="clear" w:pos="425"/>
        </w:tabs>
        <w:ind w:left="1305"/>
        <w:rPr>
          <w:rFonts w:ascii="Tahoma" w:hAnsi="Tahoma" w:cs="Tahoma"/>
          <w:color w:val="000000"/>
          <w:sz w:val="22"/>
          <w:szCs w:val="22"/>
          <w:lang w:val="id-ID"/>
        </w:rPr>
      </w:pPr>
      <w:r>
        <w:rPr>
          <w:rFonts w:ascii="Tahoma" w:hAnsi="Tahoma" w:cs="Tahoma"/>
          <w:color w:val="000000"/>
          <w:sz w:val="22"/>
          <w:szCs w:val="22"/>
          <w:lang w:val="id-ID"/>
        </w:rPr>
        <w:t>Melakukan pengendalian pelaksanaan APBD</w:t>
      </w:r>
      <w:r>
        <w:rPr>
          <w:rFonts w:ascii="Tahoma" w:hAnsi="Tahoma" w:cs="Tahoma"/>
          <w:color w:val="000000"/>
          <w:sz w:val="22"/>
          <w:szCs w:val="22"/>
        </w:rPr>
        <w:t xml:space="preserve">. </w:t>
      </w:r>
    </w:p>
    <w:p>
      <w:pPr>
        <w:pStyle w:val="10"/>
        <w:numPr>
          <w:ilvl w:val="0"/>
          <w:numId w:val="17"/>
        </w:numPr>
        <w:tabs>
          <w:tab w:val="clear" w:pos="425"/>
        </w:tabs>
        <w:ind w:left="1305"/>
        <w:rPr>
          <w:rFonts w:ascii="Tahoma" w:hAnsi="Tahoma" w:cs="Tahoma"/>
          <w:color w:val="000000"/>
          <w:sz w:val="22"/>
          <w:szCs w:val="22"/>
          <w:lang w:val="id-ID"/>
        </w:rPr>
      </w:pPr>
      <w:r>
        <w:rPr>
          <w:rFonts w:ascii="Tahoma" w:hAnsi="Tahoma" w:cs="Tahoma"/>
          <w:color w:val="000000"/>
          <w:sz w:val="22"/>
          <w:szCs w:val="22"/>
        </w:rPr>
        <w:t>M</w:t>
      </w:r>
      <w:r>
        <w:rPr>
          <w:rFonts w:ascii="Tahoma" w:hAnsi="Tahoma" w:cs="Tahoma"/>
          <w:color w:val="000000"/>
          <w:sz w:val="22"/>
          <w:szCs w:val="22"/>
          <w:lang w:val="id-ID"/>
        </w:rPr>
        <w:t>emberikan petunjuk teknis pelaksanaan sistem penerimaan dan pengeluaran kas daerah</w:t>
      </w:r>
      <w:r>
        <w:rPr>
          <w:rFonts w:ascii="Tahoma" w:hAnsi="Tahoma" w:cs="Tahoma"/>
          <w:color w:val="000000"/>
          <w:sz w:val="22"/>
          <w:szCs w:val="22"/>
        </w:rPr>
        <w:t xml:space="preserve">. </w:t>
      </w:r>
    </w:p>
    <w:p>
      <w:pPr>
        <w:pStyle w:val="10"/>
        <w:numPr>
          <w:ilvl w:val="0"/>
          <w:numId w:val="17"/>
        </w:numPr>
        <w:tabs>
          <w:tab w:val="clear" w:pos="425"/>
        </w:tabs>
        <w:ind w:left="1305"/>
        <w:rPr>
          <w:rFonts w:ascii="Tahoma" w:hAnsi="Tahoma" w:cs="Tahoma"/>
          <w:color w:val="000000"/>
          <w:sz w:val="22"/>
          <w:szCs w:val="22"/>
          <w:lang w:val="id-ID"/>
        </w:rPr>
      </w:pPr>
      <w:r>
        <w:rPr>
          <w:rFonts w:ascii="Tahoma" w:hAnsi="Tahoma" w:cs="Tahoma"/>
          <w:color w:val="000000"/>
          <w:sz w:val="22"/>
          <w:szCs w:val="22"/>
          <w:lang w:val="id-ID"/>
        </w:rPr>
        <w:t>Melaksanakan pemungutan pajak daerah</w:t>
      </w:r>
      <w:r>
        <w:rPr>
          <w:rFonts w:ascii="Tahoma" w:hAnsi="Tahoma" w:cs="Tahoma"/>
          <w:color w:val="000000"/>
          <w:sz w:val="22"/>
          <w:szCs w:val="22"/>
        </w:rPr>
        <w:t>.</w:t>
      </w:r>
    </w:p>
    <w:p>
      <w:pPr>
        <w:pStyle w:val="10"/>
        <w:numPr>
          <w:ilvl w:val="0"/>
          <w:numId w:val="17"/>
        </w:numPr>
        <w:tabs>
          <w:tab w:val="clear" w:pos="425"/>
        </w:tabs>
        <w:ind w:left="1305"/>
        <w:rPr>
          <w:rFonts w:ascii="Tahoma" w:hAnsi="Tahoma" w:cs="Tahoma"/>
          <w:color w:val="000000"/>
          <w:sz w:val="22"/>
          <w:szCs w:val="22"/>
          <w:lang w:val="id-ID"/>
        </w:rPr>
      </w:pPr>
      <w:r>
        <w:rPr>
          <w:rFonts w:ascii="Tahoma" w:hAnsi="Tahoma" w:cs="Tahoma"/>
          <w:color w:val="000000"/>
          <w:sz w:val="22"/>
          <w:szCs w:val="22"/>
          <w:lang w:val="id-ID"/>
        </w:rPr>
        <w:t>Menetapkan SPD</w:t>
      </w:r>
      <w:r>
        <w:rPr>
          <w:rFonts w:ascii="Tahoma" w:hAnsi="Tahoma" w:cs="Tahoma"/>
          <w:color w:val="000000"/>
          <w:sz w:val="22"/>
          <w:szCs w:val="22"/>
        </w:rPr>
        <w:t>.</w:t>
      </w:r>
    </w:p>
    <w:p>
      <w:pPr>
        <w:pStyle w:val="10"/>
        <w:numPr>
          <w:ilvl w:val="0"/>
          <w:numId w:val="17"/>
        </w:numPr>
        <w:tabs>
          <w:tab w:val="clear" w:pos="425"/>
        </w:tabs>
        <w:ind w:left="1305"/>
        <w:rPr>
          <w:rFonts w:ascii="Tahoma" w:hAnsi="Tahoma" w:cs="Tahoma"/>
          <w:color w:val="000000"/>
          <w:sz w:val="22"/>
          <w:szCs w:val="22"/>
          <w:lang w:val="id-ID"/>
        </w:rPr>
      </w:pPr>
      <w:r>
        <w:rPr>
          <w:rFonts w:ascii="Tahoma" w:hAnsi="Tahoma" w:cs="Tahoma"/>
          <w:color w:val="000000"/>
          <w:sz w:val="22"/>
          <w:szCs w:val="22"/>
          <w:lang w:val="id-ID"/>
        </w:rPr>
        <w:t>Menyiapkan pelaksanaan pinjaman dan pemberian pinjaman atas nama pemerintah daerah</w:t>
      </w:r>
      <w:r>
        <w:rPr>
          <w:rFonts w:ascii="Tahoma" w:hAnsi="Tahoma" w:cs="Tahoma"/>
          <w:color w:val="000000"/>
          <w:sz w:val="22"/>
          <w:szCs w:val="22"/>
        </w:rPr>
        <w:t>.</w:t>
      </w:r>
    </w:p>
    <w:p>
      <w:pPr>
        <w:pStyle w:val="10"/>
        <w:numPr>
          <w:ilvl w:val="0"/>
          <w:numId w:val="17"/>
        </w:numPr>
        <w:tabs>
          <w:tab w:val="clear" w:pos="425"/>
        </w:tabs>
        <w:ind w:left="1305"/>
        <w:rPr>
          <w:rFonts w:ascii="Tahoma" w:hAnsi="Tahoma" w:cs="Tahoma"/>
          <w:color w:val="000000"/>
          <w:sz w:val="22"/>
          <w:szCs w:val="22"/>
          <w:lang w:val="id-ID"/>
        </w:rPr>
      </w:pPr>
      <w:r>
        <w:rPr>
          <w:rFonts w:ascii="Tahoma" w:hAnsi="Tahoma" w:cs="Tahoma"/>
          <w:color w:val="000000"/>
          <w:sz w:val="22"/>
          <w:szCs w:val="22"/>
          <w:lang w:val="id-ID"/>
        </w:rPr>
        <w:t>Melaksanakan sistem akuntansi dan pelaporan keuangan daerah</w:t>
      </w:r>
      <w:r>
        <w:rPr>
          <w:rFonts w:ascii="Tahoma" w:hAnsi="Tahoma" w:cs="Tahoma"/>
          <w:color w:val="000000"/>
          <w:sz w:val="22"/>
          <w:szCs w:val="22"/>
        </w:rPr>
        <w:t>.</w:t>
      </w:r>
    </w:p>
    <w:p>
      <w:pPr>
        <w:pStyle w:val="10"/>
        <w:ind w:left="902" w:firstLine="0"/>
        <w:rPr>
          <w:rFonts w:ascii="Tahoma" w:hAnsi="Tahoma" w:cs="Tahoma"/>
          <w:color w:val="000000"/>
          <w:sz w:val="22"/>
          <w:szCs w:val="22"/>
          <w:lang w:val="id-ID"/>
        </w:rPr>
      </w:pPr>
      <w:r>
        <w:rPr>
          <w:rFonts w:ascii="Tahoma" w:hAnsi="Tahoma" w:cs="Tahoma"/>
          <w:color w:val="000000"/>
          <w:sz w:val="22"/>
          <w:szCs w:val="22"/>
          <w:lang w:val="id-ID"/>
        </w:rPr>
        <w:t xml:space="preserve">Tugas </w:t>
      </w:r>
      <w:r>
        <w:rPr>
          <w:rFonts w:ascii="Tahoma" w:hAnsi="Tahoma" w:cs="Tahoma"/>
          <w:color w:val="000000"/>
          <w:sz w:val="22"/>
          <w:szCs w:val="22"/>
        </w:rPr>
        <w:t>Badan Keuangan Daerah</w:t>
      </w:r>
      <w:r>
        <w:rPr>
          <w:rFonts w:ascii="Tahoma" w:hAnsi="Tahoma" w:cs="Tahoma"/>
          <w:color w:val="000000"/>
          <w:sz w:val="22"/>
          <w:szCs w:val="22"/>
          <w:lang w:val="id-ID"/>
        </w:rPr>
        <w:t xml:space="preserve"> selaku SKPD/Pejabat Pengelola Keuangan Daerah (PPKD) mempunyai wewenang :</w:t>
      </w:r>
    </w:p>
    <w:p>
      <w:pPr>
        <w:pStyle w:val="10"/>
        <w:numPr>
          <w:ilvl w:val="0"/>
          <w:numId w:val="18"/>
        </w:numPr>
        <w:rPr>
          <w:rFonts w:ascii="Tahoma" w:hAnsi="Tahoma" w:cs="Tahoma"/>
          <w:color w:val="000000"/>
          <w:sz w:val="22"/>
          <w:szCs w:val="22"/>
          <w:lang w:val="id-ID"/>
        </w:rPr>
      </w:pPr>
      <w:r>
        <w:rPr>
          <w:rFonts w:ascii="Tahoma" w:hAnsi="Tahoma" w:cs="Tahoma"/>
          <w:color w:val="000000"/>
          <w:sz w:val="22"/>
          <w:szCs w:val="22"/>
          <w:lang w:val="id-ID"/>
        </w:rPr>
        <w:t>Menyusun dan melaksanakan kebijakan pengelolaan keuangan daerah</w:t>
      </w:r>
      <w:r>
        <w:rPr>
          <w:rFonts w:ascii="Tahoma" w:hAnsi="Tahoma" w:cs="Tahoma"/>
          <w:color w:val="000000"/>
          <w:sz w:val="22"/>
          <w:szCs w:val="22"/>
        </w:rPr>
        <w:t>.</w:t>
      </w:r>
    </w:p>
    <w:p>
      <w:pPr>
        <w:pStyle w:val="10"/>
        <w:numPr>
          <w:ilvl w:val="0"/>
          <w:numId w:val="18"/>
        </w:numPr>
        <w:rPr>
          <w:rFonts w:ascii="Tahoma" w:hAnsi="Tahoma" w:cs="Tahoma"/>
          <w:color w:val="000000"/>
          <w:sz w:val="22"/>
          <w:szCs w:val="22"/>
          <w:lang w:val="id-ID"/>
        </w:rPr>
      </w:pPr>
      <w:r>
        <w:rPr>
          <w:rFonts w:ascii="Tahoma" w:hAnsi="Tahoma" w:cs="Tahoma"/>
          <w:color w:val="000000"/>
          <w:sz w:val="22"/>
          <w:szCs w:val="22"/>
          <w:lang w:val="id-ID"/>
        </w:rPr>
        <w:t>Menyusun rancangan APBD dan perubahan APBD</w:t>
      </w:r>
      <w:r>
        <w:rPr>
          <w:rFonts w:ascii="Tahoma" w:hAnsi="Tahoma" w:cs="Tahoma"/>
          <w:color w:val="000000"/>
          <w:sz w:val="22"/>
          <w:szCs w:val="22"/>
        </w:rPr>
        <w:t>.</w:t>
      </w:r>
    </w:p>
    <w:p>
      <w:pPr>
        <w:pStyle w:val="10"/>
        <w:numPr>
          <w:ilvl w:val="0"/>
          <w:numId w:val="18"/>
        </w:numPr>
        <w:rPr>
          <w:rFonts w:ascii="Tahoma" w:hAnsi="Tahoma" w:cs="Tahoma"/>
          <w:color w:val="000000"/>
          <w:sz w:val="22"/>
          <w:szCs w:val="22"/>
          <w:lang w:val="id-ID"/>
        </w:rPr>
      </w:pPr>
      <w:r>
        <w:rPr>
          <w:rFonts w:ascii="Tahoma" w:hAnsi="Tahoma" w:cs="Tahoma"/>
          <w:color w:val="000000"/>
          <w:sz w:val="22"/>
          <w:szCs w:val="22"/>
          <w:lang w:val="id-ID"/>
        </w:rPr>
        <w:t>Melaksanakan pemungutan pendapatan daerah yang telah ditetapkan dengan peraturan daerah</w:t>
      </w:r>
      <w:r>
        <w:rPr>
          <w:rFonts w:ascii="Tahoma" w:hAnsi="Tahoma" w:cs="Tahoma"/>
          <w:color w:val="000000"/>
          <w:sz w:val="22"/>
          <w:szCs w:val="22"/>
        </w:rPr>
        <w:t>.</w:t>
      </w:r>
    </w:p>
    <w:p>
      <w:pPr>
        <w:pStyle w:val="10"/>
        <w:numPr>
          <w:ilvl w:val="0"/>
          <w:numId w:val="18"/>
        </w:numPr>
        <w:rPr>
          <w:rFonts w:ascii="Tahoma" w:hAnsi="Tahoma" w:cs="Tahoma"/>
          <w:color w:val="000000"/>
          <w:sz w:val="22"/>
          <w:szCs w:val="22"/>
          <w:lang w:val="id-ID"/>
        </w:rPr>
      </w:pPr>
      <w:r>
        <w:rPr>
          <w:rFonts w:ascii="Tahoma" w:hAnsi="Tahoma" w:cs="Tahoma"/>
          <w:color w:val="000000"/>
          <w:sz w:val="22"/>
          <w:szCs w:val="22"/>
          <w:lang w:val="id-ID"/>
        </w:rPr>
        <w:t>Melaksanakan fungsi BUD</w:t>
      </w:r>
      <w:r>
        <w:rPr>
          <w:rFonts w:ascii="Tahoma" w:hAnsi="Tahoma" w:cs="Tahoma"/>
          <w:color w:val="000000"/>
          <w:sz w:val="22"/>
          <w:szCs w:val="22"/>
        </w:rPr>
        <w:t>.</w:t>
      </w:r>
    </w:p>
    <w:p>
      <w:pPr>
        <w:pStyle w:val="10"/>
        <w:numPr>
          <w:ilvl w:val="0"/>
          <w:numId w:val="18"/>
        </w:numPr>
        <w:spacing w:afterLines="50"/>
        <w:ind w:left="1264" w:hanging="363"/>
        <w:rPr>
          <w:rFonts w:ascii="Tahoma" w:hAnsi="Tahoma" w:cs="Tahoma"/>
          <w:color w:val="000000"/>
          <w:sz w:val="22"/>
          <w:szCs w:val="22"/>
          <w:lang w:val="id-ID"/>
        </w:rPr>
      </w:pPr>
      <w:r>
        <w:rPr>
          <w:rFonts w:ascii="Tahoma" w:hAnsi="Tahoma" w:cs="Tahoma"/>
          <w:color w:val="000000"/>
          <w:sz w:val="22"/>
          <w:szCs w:val="22"/>
          <w:lang w:val="id-ID"/>
        </w:rPr>
        <w:t>Menyu</w:t>
      </w:r>
      <w:r>
        <w:rPr>
          <w:rFonts w:ascii="Tahoma" w:hAnsi="Tahoma" w:cs="Tahoma"/>
          <w:color w:val="000000"/>
          <w:sz w:val="22"/>
          <w:szCs w:val="22"/>
        </w:rPr>
        <w:t>s</w:t>
      </w:r>
      <w:r>
        <w:rPr>
          <w:rFonts w:ascii="Tahoma" w:hAnsi="Tahoma" w:cs="Tahoma"/>
          <w:color w:val="000000"/>
          <w:sz w:val="22"/>
          <w:szCs w:val="22"/>
          <w:lang w:val="id-ID"/>
        </w:rPr>
        <w:t>un</w:t>
      </w:r>
      <w:r>
        <w:rPr>
          <w:rFonts w:ascii="Tahoma" w:hAnsi="Tahoma" w:cs="Tahoma"/>
          <w:color w:val="000000"/>
          <w:sz w:val="22"/>
          <w:szCs w:val="22"/>
        </w:rPr>
        <w:t>an</w:t>
      </w:r>
      <w:r>
        <w:rPr>
          <w:rFonts w:ascii="Tahoma" w:hAnsi="Tahoma" w:cs="Tahoma"/>
          <w:color w:val="000000"/>
          <w:sz w:val="22"/>
          <w:szCs w:val="22"/>
          <w:lang w:val="id-ID"/>
        </w:rPr>
        <w:t xml:space="preserve"> laporan keuangan daerah dalam rangka pertanggungjaewaban pelaksanaan APBD</w:t>
      </w:r>
      <w:r>
        <w:rPr>
          <w:rFonts w:ascii="Tahoma" w:hAnsi="Tahoma" w:cs="Tahoma"/>
          <w:color w:val="000000"/>
          <w:sz w:val="22"/>
          <w:szCs w:val="22"/>
        </w:rPr>
        <w:t>.</w:t>
      </w:r>
    </w:p>
    <w:p>
      <w:pPr>
        <w:pStyle w:val="10"/>
        <w:spacing w:afterLines="100"/>
        <w:ind w:left="850" w:firstLine="0"/>
        <w:rPr>
          <w:rFonts w:ascii="Tahoma" w:hAnsi="Tahoma" w:cs="Tahoma"/>
          <w:color w:val="000000"/>
          <w:sz w:val="22"/>
          <w:szCs w:val="22"/>
          <w:lang w:val="id-ID"/>
        </w:rPr>
      </w:pPr>
      <w:r>
        <w:rPr>
          <w:rFonts w:ascii="Tahoma" w:hAnsi="Tahoma" w:cs="Tahoma"/>
          <w:color w:val="000000"/>
          <w:sz w:val="22"/>
          <w:szCs w:val="22"/>
          <w:lang w:val="id-ID"/>
        </w:rPr>
        <w:t xml:space="preserve">Tugas </w:t>
      </w:r>
      <w:r>
        <w:rPr>
          <w:rFonts w:ascii="Tahoma" w:hAnsi="Tahoma" w:cs="Tahoma"/>
          <w:color w:val="000000"/>
          <w:sz w:val="22"/>
          <w:szCs w:val="22"/>
        </w:rPr>
        <w:t>Badan Keuangan Daerah</w:t>
      </w:r>
      <w:r>
        <w:rPr>
          <w:rFonts w:ascii="Tahoma" w:hAnsi="Tahoma" w:cs="Tahoma"/>
          <w:color w:val="000000"/>
          <w:sz w:val="22"/>
          <w:szCs w:val="22"/>
          <w:lang w:val="id-ID"/>
        </w:rPr>
        <w:t xml:space="preserve"> sesuai dengan Peraturan Pemerintah Nomor 33 Tahun 2018 sebagai pelaksanaan tugas dan wewenang Gubernur sebagai wakil pemerintah pusat mempunyai tugas mengevaluasi </w:t>
      </w:r>
      <w:r>
        <w:rPr>
          <w:rFonts w:ascii="Tahoma" w:hAnsi="Tahoma" w:cs="Tahoma"/>
          <w:color w:val="000000"/>
          <w:sz w:val="22"/>
          <w:szCs w:val="22"/>
        </w:rPr>
        <w:t>R</w:t>
      </w:r>
      <w:r>
        <w:rPr>
          <w:rFonts w:ascii="Tahoma" w:hAnsi="Tahoma" w:cs="Tahoma"/>
          <w:color w:val="000000"/>
          <w:sz w:val="22"/>
          <w:szCs w:val="22"/>
          <w:lang w:val="id-ID"/>
        </w:rPr>
        <w:t>ancangan Perda tentang Anggaran Belanja dan Pendapatan Daerah, Pajak Daerah dan Retribusi Daerah.</w:t>
      </w:r>
    </w:p>
    <w:p>
      <w:pPr>
        <w:pStyle w:val="10"/>
        <w:numPr>
          <w:ilvl w:val="0"/>
          <w:numId w:val="15"/>
        </w:numPr>
        <w:spacing w:before="120" w:after="120" w:line="240" w:lineRule="auto"/>
        <w:ind w:left="907"/>
        <w:rPr>
          <w:rFonts w:ascii="Tahoma" w:hAnsi="Tahoma" w:cs="Tahoma"/>
          <w:b/>
          <w:color w:val="000000"/>
          <w:sz w:val="22"/>
          <w:szCs w:val="22"/>
          <w:lang w:val="id-ID"/>
        </w:rPr>
      </w:pPr>
      <w:r>
        <w:rPr>
          <w:rFonts w:ascii="Tahoma" w:hAnsi="Tahoma" w:cs="Tahoma"/>
          <w:b/>
          <w:bCs/>
          <w:color w:val="000000"/>
          <w:sz w:val="22"/>
          <w:szCs w:val="22"/>
          <w:lang w:val="id-ID"/>
        </w:rPr>
        <w:t>Struktur Organisasi</w:t>
      </w:r>
    </w:p>
    <w:p>
      <w:pPr>
        <w:pStyle w:val="10"/>
        <w:tabs>
          <w:tab w:val="left" w:pos="0"/>
          <w:tab w:val="left" w:pos="1800"/>
        </w:tabs>
        <w:ind w:left="880" w:firstLine="0"/>
        <w:rPr>
          <w:rFonts w:ascii="Tahoma" w:hAnsi="Tahoma" w:cs="Tahoma"/>
          <w:color w:val="000000"/>
          <w:sz w:val="22"/>
          <w:szCs w:val="22"/>
          <w:lang w:val="id-ID"/>
        </w:rPr>
      </w:pPr>
      <w:r>
        <w:rPr>
          <w:rFonts w:ascii="Tahoma" w:hAnsi="Tahoma" w:cs="Tahoma"/>
          <w:color w:val="000000"/>
          <w:sz w:val="22"/>
          <w:szCs w:val="22"/>
          <w:lang w:val="id-ID"/>
        </w:rPr>
        <w:t>Dalam melaksanakan tugas pokok, fungsi</w:t>
      </w:r>
      <w:r>
        <w:rPr>
          <w:rFonts w:ascii="Tahoma" w:hAnsi="Tahoma" w:cs="Tahoma"/>
          <w:color w:val="000000"/>
          <w:sz w:val="22"/>
          <w:szCs w:val="22"/>
        </w:rPr>
        <w:t>,</w:t>
      </w:r>
      <w:r>
        <w:rPr>
          <w:rFonts w:ascii="Tahoma" w:hAnsi="Tahoma" w:cs="Tahoma"/>
          <w:color w:val="000000"/>
          <w:sz w:val="22"/>
          <w:szCs w:val="22"/>
          <w:lang w:val="id-ID"/>
        </w:rPr>
        <w:t xml:space="preserve"> dan tugas tersebut di atas, maka Organisasi </w:t>
      </w:r>
      <w:r>
        <w:rPr>
          <w:rFonts w:ascii="Tahoma" w:hAnsi="Tahoma" w:cs="Tahoma"/>
          <w:color w:val="000000"/>
          <w:sz w:val="22"/>
          <w:szCs w:val="22"/>
        </w:rPr>
        <w:t>Badan Keuangan Daerah</w:t>
      </w:r>
      <w:r>
        <w:rPr>
          <w:rFonts w:ascii="Tahoma" w:hAnsi="Tahoma" w:cs="Tahoma"/>
          <w:color w:val="000000"/>
          <w:sz w:val="22"/>
          <w:szCs w:val="22"/>
          <w:lang w:val="id-ID"/>
        </w:rPr>
        <w:t xml:space="preserve"> terdiri dari 1</w:t>
      </w:r>
      <w:r>
        <w:rPr>
          <w:rFonts w:ascii="Tahoma" w:hAnsi="Tahoma" w:cs="Tahoma"/>
          <w:color w:val="000000"/>
          <w:sz w:val="22"/>
          <w:szCs w:val="22"/>
        </w:rPr>
        <w:t xml:space="preserve"> (satu)</w:t>
      </w:r>
      <w:r>
        <w:rPr>
          <w:rFonts w:ascii="Tahoma" w:hAnsi="Tahoma" w:cs="Tahoma"/>
          <w:color w:val="000000"/>
          <w:sz w:val="22"/>
          <w:szCs w:val="22"/>
          <w:lang w:val="id-ID"/>
        </w:rPr>
        <w:t xml:space="preserve"> Kepala Badan, 1</w:t>
      </w:r>
      <w:r>
        <w:rPr>
          <w:rFonts w:ascii="Tahoma" w:hAnsi="Tahoma" w:cs="Tahoma"/>
          <w:color w:val="000000"/>
          <w:sz w:val="22"/>
          <w:szCs w:val="22"/>
        </w:rPr>
        <w:t xml:space="preserve"> (satu)</w:t>
      </w:r>
      <w:r>
        <w:rPr>
          <w:rFonts w:ascii="Tahoma" w:hAnsi="Tahoma" w:cs="Tahoma"/>
          <w:color w:val="000000"/>
          <w:sz w:val="22"/>
          <w:szCs w:val="22"/>
          <w:lang w:val="id-ID"/>
        </w:rPr>
        <w:t xml:space="preserve"> Sekretariat, </w:t>
      </w:r>
      <w:r>
        <w:rPr>
          <w:rFonts w:ascii="Tahoma" w:hAnsi="Tahoma" w:cs="Tahoma"/>
          <w:color w:val="000000"/>
          <w:sz w:val="22"/>
          <w:szCs w:val="22"/>
        </w:rPr>
        <w:t xml:space="preserve">dan </w:t>
      </w:r>
      <w:r>
        <w:rPr>
          <w:rFonts w:ascii="Tahoma" w:hAnsi="Tahoma" w:cs="Tahoma"/>
          <w:color w:val="000000"/>
          <w:sz w:val="22"/>
          <w:szCs w:val="22"/>
          <w:lang w:val="id-ID"/>
        </w:rPr>
        <w:t xml:space="preserve">6 </w:t>
      </w:r>
      <w:r>
        <w:rPr>
          <w:rFonts w:ascii="Tahoma" w:hAnsi="Tahoma" w:cs="Tahoma"/>
          <w:color w:val="000000"/>
          <w:sz w:val="22"/>
          <w:szCs w:val="22"/>
        </w:rPr>
        <w:t xml:space="preserve">(enam) </w:t>
      </w:r>
      <w:r>
        <w:rPr>
          <w:rFonts w:ascii="Tahoma" w:hAnsi="Tahoma" w:cs="Tahoma"/>
          <w:color w:val="000000"/>
          <w:sz w:val="22"/>
          <w:szCs w:val="22"/>
          <w:lang w:val="id-ID"/>
        </w:rPr>
        <w:t xml:space="preserve">Bidang yaitu : Bidang Pajak Daerah, Bidang Retribusi, Dana Perimbangan dan Pendapatan Lain-lain, Bidang Anggaran, Bidang Perbendaharaan, Bidang Akuntansi dan Pelaporan, </w:t>
      </w:r>
      <w:r>
        <w:rPr>
          <w:rFonts w:ascii="Tahoma" w:hAnsi="Tahoma" w:cs="Tahoma"/>
          <w:color w:val="000000"/>
          <w:sz w:val="22"/>
          <w:szCs w:val="22"/>
        </w:rPr>
        <w:t xml:space="preserve">dan </w:t>
      </w:r>
      <w:r>
        <w:rPr>
          <w:rFonts w:ascii="Tahoma" w:hAnsi="Tahoma" w:cs="Tahoma"/>
          <w:color w:val="000000"/>
          <w:sz w:val="22"/>
          <w:szCs w:val="22"/>
          <w:lang w:val="id-ID"/>
        </w:rPr>
        <w:t xml:space="preserve">Bidang Bina Administrasi Keuangan Daerah. Sedangkan dalam memberikan pelayanan kepada masyarakat di bidang pemungutan pajak, </w:t>
      </w:r>
      <w:r>
        <w:rPr>
          <w:rFonts w:ascii="Tahoma" w:hAnsi="Tahoma" w:cs="Tahoma"/>
          <w:color w:val="000000"/>
          <w:sz w:val="22"/>
          <w:szCs w:val="22"/>
        </w:rPr>
        <w:t>Badan Keuangan Daerah</w:t>
      </w:r>
      <w:r>
        <w:rPr>
          <w:rFonts w:ascii="Tahoma" w:hAnsi="Tahoma" w:cs="Tahoma"/>
          <w:color w:val="000000"/>
          <w:sz w:val="22"/>
          <w:szCs w:val="22"/>
          <w:lang w:val="id-ID"/>
        </w:rPr>
        <w:t xml:space="preserve"> mempunyai 18 (delapan belas) Unit Pelaksana Teknis Daerah yang tersebar pada 18 Kabupaten/Kota (kecuali Mentawai) di Sumatera Barat serta UPT</w:t>
      </w:r>
      <w:r>
        <w:rPr>
          <w:rFonts w:ascii="Tahoma" w:hAnsi="Tahoma" w:cs="Tahoma"/>
          <w:color w:val="000000"/>
          <w:sz w:val="22"/>
          <w:szCs w:val="22"/>
        </w:rPr>
        <w:t>D</w:t>
      </w:r>
      <w:r>
        <w:rPr>
          <w:rFonts w:ascii="Tahoma" w:hAnsi="Tahoma" w:cs="Tahoma"/>
          <w:color w:val="000000"/>
          <w:sz w:val="22"/>
          <w:szCs w:val="22"/>
          <w:lang w:val="id-ID"/>
        </w:rPr>
        <w:t xml:space="preserve"> Sistem Informasi Keuangan Daerah.  </w:t>
      </w:r>
    </w:p>
    <w:p>
      <w:pPr>
        <w:pStyle w:val="10"/>
        <w:tabs>
          <w:tab w:val="left" w:pos="0"/>
          <w:tab w:val="left" w:pos="1800"/>
        </w:tabs>
        <w:ind w:left="880" w:firstLine="0"/>
        <w:rPr>
          <w:rFonts w:ascii="Tahoma" w:hAnsi="Tahoma" w:cs="Tahoma"/>
          <w:color w:val="000000"/>
          <w:sz w:val="22"/>
          <w:szCs w:val="22"/>
          <w:lang w:val="id-ID"/>
        </w:rPr>
      </w:pPr>
      <w:r>
        <w:rPr>
          <w:rFonts w:ascii="Tahoma" w:hAnsi="Tahoma" w:cs="Tahoma"/>
          <w:color w:val="000000"/>
          <w:sz w:val="22"/>
          <w:szCs w:val="22"/>
          <w:lang w:val="id-ID"/>
        </w:rPr>
        <w:t xml:space="preserve">Susunan organisasi </w:t>
      </w:r>
      <w:r>
        <w:rPr>
          <w:rFonts w:ascii="Tahoma" w:hAnsi="Tahoma" w:cs="Tahoma"/>
          <w:color w:val="000000"/>
          <w:sz w:val="22"/>
          <w:szCs w:val="22"/>
        </w:rPr>
        <w:t>Badan Keuangan Daerah</w:t>
      </w:r>
      <w:r>
        <w:rPr>
          <w:rFonts w:ascii="Tahoma" w:hAnsi="Tahoma" w:cs="Tahoma"/>
          <w:color w:val="000000"/>
          <w:sz w:val="22"/>
          <w:szCs w:val="22"/>
          <w:lang w:val="id-ID"/>
        </w:rPr>
        <w:t xml:space="preserve"> Provinsi Sumatera Barat secara lengkap disajikan dalam gambar dibawah ini.</w:t>
      </w:r>
    </w:p>
    <w:p>
      <w:pPr>
        <w:pStyle w:val="10"/>
        <w:tabs>
          <w:tab w:val="left" w:pos="0"/>
          <w:tab w:val="left" w:pos="1800"/>
        </w:tabs>
        <w:ind w:left="900" w:firstLine="0"/>
        <w:rPr>
          <w:rFonts w:ascii="Calibri" w:hAnsi="Calibri"/>
          <w:color w:val="000000"/>
          <w:lang w:val="id-ID"/>
        </w:rPr>
      </w:pPr>
    </w:p>
    <w:p>
      <w:pPr>
        <w:pStyle w:val="10"/>
        <w:tabs>
          <w:tab w:val="left" w:pos="0"/>
          <w:tab w:val="left" w:pos="1800"/>
        </w:tabs>
        <w:ind w:left="900" w:firstLine="0"/>
        <w:rPr>
          <w:rFonts w:ascii="Calibri" w:hAnsi="Calibri"/>
          <w:color w:val="000000"/>
          <w:lang w:val="id-ID"/>
        </w:rPr>
      </w:pPr>
    </w:p>
    <w:p>
      <w:pPr>
        <w:pStyle w:val="10"/>
        <w:tabs>
          <w:tab w:val="left" w:pos="0"/>
          <w:tab w:val="left" w:pos="1800"/>
        </w:tabs>
        <w:ind w:left="900" w:firstLine="0"/>
        <w:rPr>
          <w:rFonts w:ascii="Calibri" w:hAnsi="Calibri"/>
          <w:color w:val="000000"/>
          <w:lang w:val="id-ID"/>
        </w:rPr>
      </w:pPr>
    </w:p>
    <w:p>
      <w:pPr>
        <w:pStyle w:val="10"/>
        <w:tabs>
          <w:tab w:val="left" w:pos="0"/>
          <w:tab w:val="left" w:pos="1800"/>
        </w:tabs>
        <w:ind w:left="900" w:firstLine="0"/>
        <w:rPr>
          <w:rFonts w:ascii="Calibri" w:hAnsi="Calibri"/>
          <w:color w:val="000000"/>
          <w:lang w:val="id-ID"/>
        </w:rPr>
      </w:pPr>
    </w:p>
    <w:p>
      <w:pPr>
        <w:pStyle w:val="10"/>
        <w:tabs>
          <w:tab w:val="left" w:pos="0"/>
          <w:tab w:val="left" w:pos="1800"/>
        </w:tabs>
        <w:ind w:firstLine="0"/>
        <w:rPr>
          <w:rFonts w:ascii="Calibri" w:hAnsi="Calibri"/>
          <w:color w:val="000000"/>
          <w:lang w:val="id-ID"/>
        </w:rPr>
      </w:pPr>
    </w:p>
    <w:p>
      <w:pPr>
        <w:pStyle w:val="10"/>
        <w:tabs>
          <w:tab w:val="left" w:pos="0"/>
          <w:tab w:val="left" w:pos="1800"/>
        </w:tabs>
        <w:spacing w:afterLines="50"/>
        <w:ind w:firstLine="0"/>
        <w:rPr>
          <w:rFonts w:ascii="Calibri" w:hAnsi="Calibri"/>
          <w:color w:val="000000"/>
          <w:lang w:val="id-ID"/>
        </w:rPr>
      </w:pPr>
    </w:p>
    <w:p>
      <w:pPr>
        <w:spacing w:afterLines="50" w:line="240" w:lineRule="auto"/>
        <w:ind w:left="357"/>
        <w:jc w:val="center"/>
        <w:rPr>
          <w:rFonts w:hint="default" w:ascii="Tahoma" w:hAnsi="Tahoma" w:eastAsia="Batang" w:cs="Tahoma"/>
          <w:b/>
          <w:bCs/>
        </w:rPr>
      </w:pPr>
      <w:r>
        <w:rPr>
          <w:rFonts w:hint="default" w:ascii="Tahoma" w:hAnsi="Tahoma" w:eastAsia="Batang" w:cs="Tahoma"/>
          <w:b/>
          <w:bCs/>
          <w:lang w:val="id-ID"/>
        </w:rPr>
        <w:t>Gambar</w:t>
      </w:r>
      <w:r>
        <w:rPr>
          <w:rFonts w:hint="default" w:ascii="Tahoma" w:hAnsi="Tahoma" w:eastAsia="Batang" w:cs="Tahoma"/>
          <w:b/>
          <w:bCs/>
          <w:lang w:val="en-US"/>
        </w:rPr>
        <w:t xml:space="preserve"> </w:t>
      </w:r>
      <w:r>
        <w:rPr>
          <w:rFonts w:hint="default" w:ascii="Tahoma" w:hAnsi="Tahoma" w:eastAsia="Batang" w:cs="Tahoma"/>
          <w:b/>
          <w:bCs/>
          <w:lang w:val="id-ID"/>
        </w:rPr>
        <w:t>1</w:t>
      </w:r>
      <w:r>
        <w:rPr>
          <w:rFonts w:hint="default" w:ascii="Tahoma" w:hAnsi="Tahoma" w:eastAsia="Batang" w:cs="Tahoma"/>
          <w:b/>
          <w:bCs/>
        </w:rPr>
        <w:t xml:space="preserve">.1 </w:t>
      </w:r>
    </w:p>
    <w:p>
      <w:pPr>
        <w:spacing w:after="0" w:line="240" w:lineRule="auto"/>
        <w:ind w:left="357"/>
        <w:jc w:val="center"/>
        <w:rPr>
          <w:rFonts w:hint="default" w:ascii="Tahoma" w:hAnsi="Tahoma" w:eastAsia="Batang" w:cs="Tahoma"/>
          <w:b/>
          <w:bCs/>
          <w:lang w:val="id-ID"/>
        </w:rPr>
      </w:pPr>
      <w:r>
        <w:rPr>
          <w:rFonts w:hint="default" w:ascii="Tahoma" w:hAnsi="Tahoma" w:eastAsia="Batang" w:cs="Tahoma"/>
          <w:b/>
          <w:bCs/>
          <w:lang w:val="id-ID"/>
        </w:rPr>
        <w:t>S</w:t>
      </w:r>
      <w:r>
        <w:rPr>
          <w:rFonts w:hint="default" w:ascii="Tahoma" w:hAnsi="Tahoma" w:eastAsia="Batang" w:cs="Tahoma"/>
          <w:b/>
          <w:bCs/>
        </w:rPr>
        <w:t>t</w:t>
      </w:r>
      <w:r>
        <w:rPr>
          <w:rFonts w:hint="default" w:ascii="Tahoma" w:hAnsi="Tahoma" w:eastAsia="Batang" w:cs="Tahoma"/>
          <w:b/>
          <w:bCs/>
          <w:lang w:val="id-ID"/>
        </w:rPr>
        <w:t xml:space="preserve">ruktur </w:t>
      </w:r>
      <w:r>
        <w:rPr>
          <w:rFonts w:hint="default" w:ascii="Tahoma" w:hAnsi="Tahoma" w:eastAsia="Batang" w:cs="Tahoma"/>
          <w:b/>
          <w:bCs/>
        </w:rPr>
        <w:t>Organisasi</w:t>
      </w:r>
    </w:p>
    <w:p>
      <w:pPr>
        <w:spacing w:after="0" w:line="240" w:lineRule="auto"/>
        <w:ind w:left="357"/>
        <w:jc w:val="center"/>
        <w:rPr>
          <w:rFonts w:hint="default" w:ascii="Tahoma" w:hAnsi="Tahoma" w:eastAsia="Batang" w:cs="Tahoma"/>
          <w:b/>
          <w:bCs/>
          <w:lang w:val="id-ID"/>
        </w:rPr>
      </w:pPr>
      <w:r>
        <w:rPr>
          <w:rFonts w:hint="default" w:ascii="Tahoma" w:hAnsi="Tahoma" w:eastAsia="Batang" w:cs="Tahoma"/>
          <w:b/>
          <w:bCs/>
          <w:lang w:val="id-ID"/>
        </w:rPr>
        <w:t xml:space="preserve">Badan Keuangan Daerah </w:t>
      </w:r>
      <w:r>
        <w:rPr>
          <w:rFonts w:hint="default" w:ascii="Tahoma" w:hAnsi="Tahoma" w:eastAsia="Batang" w:cs="Tahoma"/>
          <w:b/>
          <w:bCs/>
        </w:rPr>
        <w:t>Pro</w:t>
      </w:r>
      <w:r>
        <w:rPr>
          <w:rFonts w:hint="default" w:ascii="Tahoma" w:hAnsi="Tahoma" w:eastAsia="Batang" w:cs="Tahoma"/>
          <w:b/>
          <w:bCs/>
          <w:lang w:val="id-ID"/>
        </w:rPr>
        <w:t>vinsi</w:t>
      </w:r>
      <w:r>
        <w:rPr>
          <w:rFonts w:hint="default" w:ascii="Tahoma" w:hAnsi="Tahoma" w:eastAsia="Batang" w:cs="Tahoma"/>
          <w:b/>
          <w:bCs/>
        </w:rPr>
        <w:t xml:space="preserve"> Sum</w:t>
      </w:r>
      <w:r>
        <w:rPr>
          <w:rFonts w:hint="default" w:ascii="Tahoma" w:hAnsi="Tahoma" w:eastAsia="Batang" w:cs="Tahoma"/>
          <w:b/>
          <w:bCs/>
          <w:lang w:val="id-ID"/>
        </w:rPr>
        <w:t xml:space="preserve">atera </w:t>
      </w:r>
      <w:r>
        <w:rPr>
          <w:rFonts w:hint="default" w:ascii="Tahoma" w:hAnsi="Tahoma" w:eastAsia="Batang" w:cs="Tahoma"/>
          <w:b/>
          <w:bCs/>
        </w:rPr>
        <w:t>Bar</w:t>
      </w:r>
      <w:r>
        <w:rPr>
          <w:rFonts w:hint="default" w:ascii="Tahoma" w:hAnsi="Tahoma" w:eastAsia="Batang" w:cs="Tahoma"/>
          <w:b/>
          <w:bCs/>
          <w:lang w:val="id-ID"/>
        </w:rPr>
        <w:t>at</w:t>
      </w:r>
    </w:p>
    <w:p>
      <w:pPr>
        <w:spacing w:after="0" w:line="240" w:lineRule="auto"/>
        <w:jc w:val="both"/>
        <w:rPr>
          <w:rFonts w:eastAsia="Batang" w:cs="Calibri"/>
          <w:b/>
          <w:bCs/>
          <w:lang w:val="id-ID"/>
        </w:rPr>
      </w:pPr>
    </w:p>
    <w:p>
      <w:pPr>
        <w:spacing w:after="0"/>
        <w:ind w:firstLine="720"/>
        <w:jc w:val="center"/>
        <w:rPr>
          <w:rFonts w:ascii="Batang" w:hAnsi="Batang" w:eastAsia="Batang" w:cs="MS Reference Sans Serif"/>
          <w:b/>
          <w:bCs/>
          <w:lang w:val="id-ID"/>
        </w:rPr>
      </w:pPr>
      <w:r>
        <w:rPr>
          <w:rFonts w:eastAsia="Batang" w:cs="Calibri"/>
          <w:b/>
          <w:bCs/>
          <w:lang w:val="id-ID" w:eastAsia="id-ID"/>
        </w:rPr>
        <mc:AlternateContent>
          <mc:Choice Requires="wps">
            <w:drawing>
              <wp:anchor distT="0" distB="0" distL="114300" distR="114300" simplePos="0" relativeHeight="251678720" behindDoc="0" locked="0" layoutInCell="1" allowOverlap="1">
                <wp:simplePos x="0" y="0"/>
                <wp:positionH relativeFrom="column">
                  <wp:posOffset>2543175</wp:posOffset>
                </wp:positionH>
                <wp:positionV relativeFrom="paragraph">
                  <wp:posOffset>111125</wp:posOffset>
                </wp:positionV>
                <wp:extent cx="819150" cy="353695"/>
                <wp:effectExtent l="4445" t="4445" r="14605" b="22860"/>
                <wp:wrapNone/>
                <wp:docPr id="35" name="AutoShape 19"/>
                <wp:cNvGraphicFramePr/>
                <a:graphic xmlns:a="http://schemas.openxmlformats.org/drawingml/2006/main">
                  <a:graphicData uri="http://schemas.microsoft.com/office/word/2010/wordprocessingShape">
                    <wps:wsp>
                      <wps:cNvSpPr/>
                      <wps:spPr>
                        <a:xfrm>
                          <a:off x="0" y="0"/>
                          <a:ext cx="819150" cy="353695"/>
                        </a:xfrm>
                        <a:prstGeom prst="roundRect">
                          <a:avLst>
                            <a:gd name="adj" fmla="val 16667"/>
                          </a:avLst>
                        </a:prstGeom>
                        <a:solidFill>
                          <a:schemeClr val="accent6">
                            <a:lumMod val="20000"/>
                            <a:lumOff val="80000"/>
                          </a:schemeClr>
                        </a:solidFill>
                        <a:ln w="9525" cap="flat" cmpd="sng">
                          <a:solidFill>
                            <a:srgbClr val="000000"/>
                          </a:solidFill>
                          <a:prstDash val="solid"/>
                          <a:headEnd type="none" w="med" len="med"/>
                          <a:tailEnd type="none" w="med" len="med"/>
                        </a:ln>
                        <a:effectLst/>
                      </wps:spPr>
                      <wps:txbx>
                        <w:txbxContent>
                          <w:p>
                            <w:pPr>
                              <w:jc w:val="center"/>
                              <w:rPr>
                                <w:sz w:val="16"/>
                                <w:szCs w:val="16"/>
                                <w:lang w:val="id-ID"/>
                              </w:rPr>
                            </w:pPr>
                            <w:r>
                              <w:rPr>
                                <w:sz w:val="16"/>
                                <w:szCs w:val="16"/>
                                <w:lang w:val="id-ID"/>
                              </w:rPr>
                              <w:t>Kepala Badan</w:t>
                            </w:r>
                          </w:p>
                        </w:txbxContent>
                      </wps:txbx>
                      <wps:bodyPr upright="1"/>
                    </wps:wsp>
                  </a:graphicData>
                </a:graphic>
              </wp:anchor>
            </w:drawing>
          </mc:Choice>
          <mc:Fallback>
            <w:pict>
              <v:roundrect id="AutoShape 19" o:spid="_x0000_s1026" o:spt="2" style="position:absolute;left:0pt;margin-left:200.25pt;margin-top:8.75pt;height:27.85pt;width:64.5pt;z-index:251678720;mso-width-relative:page;mso-height-relative:page;" fillcolor="#FDEADA [665]" filled="t" stroked="t" coordsize="21600,21600" arcsize="0.166666666666667" o:gfxdata="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bbILdMAAAAJAQAADwAAAAAAAAABACAAAAAiAAAAZHJzL2Rvd25yZXYueG1sUEsB&#10;AhQAFAAAAAgAh07iQJTXbKwzAgAAmwQAAA4AAAAAAAAAAQAgAAAAIgEAAGRycy9lMm9Eb2MueG1s&#10;UEsFBgAAAAAGAAYAWQEAAMcFAAAAAA==&#10;">
                <v:fill on="t" focussize="0,0"/>
                <v:stroke color="#000000" joinstyle="round"/>
                <v:imagedata o:title=""/>
                <o:lock v:ext="edit" aspectratio="f"/>
                <v:textbox>
                  <w:txbxContent>
                    <w:p>
                      <w:pPr>
                        <w:jc w:val="center"/>
                        <w:rPr>
                          <w:sz w:val="16"/>
                          <w:szCs w:val="16"/>
                          <w:lang w:val="id-ID"/>
                        </w:rPr>
                      </w:pPr>
                      <w:r>
                        <w:rPr>
                          <w:sz w:val="16"/>
                          <w:szCs w:val="16"/>
                          <w:lang w:val="id-ID"/>
                        </w:rPr>
                        <w:t>Kepala Badan</w:t>
                      </w:r>
                    </w:p>
                  </w:txbxContent>
                </v:textbox>
              </v:roundrect>
            </w:pict>
          </mc:Fallback>
        </mc:AlternateContent>
      </w:r>
    </w:p>
    <w:p>
      <w:pPr>
        <w:rPr>
          <w:rFonts w:ascii="Batang" w:hAnsi="Batang" w:eastAsia="Batang" w:cs="MS Reference Sans Serif"/>
          <w:lang w:val="id-ID"/>
        </w:rPr>
      </w:pPr>
      <w:r>
        <mc:AlternateContent>
          <mc:Choice Requires="wps">
            <w:drawing>
              <wp:anchor distT="0" distB="0" distL="114300" distR="114300" simplePos="0" relativeHeight="251735040" behindDoc="0" locked="0" layoutInCell="1" allowOverlap="1">
                <wp:simplePos x="0" y="0"/>
                <wp:positionH relativeFrom="column">
                  <wp:posOffset>3011170</wp:posOffset>
                </wp:positionH>
                <wp:positionV relativeFrom="paragraph">
                  <wp:posOffset>185420</wp:posOffset>
                </wp:positionV>
                <wp:extent cx="23495" cy="3938270"/>
                <wp:effectExtent l="4445" t="0" r="10160" b="5080"/>
                <wp:wrapNone/>
                <wp:docPr id="92" name="Lines 85"/>
                <wp:cNvGraphicFramePr/>
                <a:graphic xmlns:a="http://schemas.openxmlformats.org/drawingml/2006/main">
                  <a:graphicData uri="http://schemas.microsoft.com/office/word/2010/wordprocessingShape">
                    <wps:wsp>
                      <wps:cNvCnPr>
                        <a:endCxn id="46" idx="0"/>
                      </wps:cNvCnPr>
                      <wps:spPr>
                        <a:xfrm flipH="1">
                          <a:off x="0" y="0"/>
                          <a:ext cx="23495" cy="39382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s 85" o:spid="_x0000_s1026" o:spt="20" style="position:absolute;left:0pt;flip:x;margin-left:237.1pt;margin-top:14.6pt;height:310.1pt;width:1.85pt;z-index:251735040;mso-width-relative:page;mso-height-relative:page;" filled="f" stroked="t" coordsize="21600,21600" o:gfxdata="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krVDdkAAAAKAQAADwAAAAAAAAABACAAAAAiAAAAZHJzL2Rvd25y&#10;ZXYueG1sUEsBAhQAFAAAAAgAh07iQFb2swT9AQAAIAQAAA4AAAAAAAAAAQAgAAAAKAEAAGRycy9l&#10;Mm9Eb2MueG1sUEsFBgAAAAAGAAYAWQEAAJcFAAAAAA==&#10;">
                <v:fill on="f" focussize="0,0"/>
                <v:stroke color="#000000" joinstyle="round"/>
                <v:imagedata o:title=""/>
                <o:lock v:ext="edit" aspectratio="f"/>
              </v:lin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05344" behindDoc="0" locked="0" layoutInCell="1" allowOverlap="1">
                <wp:simplePos x="0" y="0"/>
                <wp:positionH relativeFrom="column">
                  <wp:posOffset>4906010</wp:posOffset>
                </wp:positionH>
                <wp:positionV relativeFrom="paragraph">
                  <wp:posOffset>403225</wp:posOffset>
                </wp:positionV>
                <wp:extent cx="0" cy="137795"/>
                <wp:effectExtent l="5080" t="0" r="13970" b="14605"/>
                <wp:wrapNone/>
                <wp:docPr id="62" name="AutoShape 47"/>
                <wp:cNvGraphicFramePr/>
                <a:graphic xmlns:a="http://schemas.openxmlformats.org/drawingml/2006/main">
                  <a:graphicData uri="http://schemas.microsoft.com/office/word/2010/wordprocessingShape">
                    <wps:wsp>
                      <wps:cNvCnPr/>
                      <wps:spPr>
                        <a:xfrm>
                          <a:off x="0" y="0"/>
                          <a:ext cx="0" cy="13779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47" o:spid="_x0000_s1026" o:spt="32" type="#_x0000_t32" style="position:absolute;left:0pt;margin-left:386.3pt;margin-top:31.75pt;height:10.85pt;width:0pt;z-index:251705344;mso-width-relative:page;mso-height-relative:page;" filled="f" stroked="t" coordsize="21600,21600" o:gfxdata="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ft1vO1wAAAAkB&#10;AAAPAAAAAAAAAAEAIAAAACIAAABkcnMvZG93bnJldi54bWxQSwECFAAUAAAACACHTuJAAcSnwOMB&#10;AADvAwAADgAAAAAAAAABACAAAAAmAQAAZHJzL2Uyb0RvYy54bWxQSwUGAAAAAAYABgBZAQAAewUA&#10;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88960" behindDoc="0" locked="0" layoutInCell="1" allowOverlap="1">
                <wp:simplePos x="0" y="0"/>
                <wp:positionH relativeFrom="column">
                  <wp:posOffset>24130</wp:posOffset>
                </wp:positionH>
                <wp:positionV relativeFrom="paragraph">
                  <wp:posOffset>93345</wp:posOffset>
                </wp:positionV>
                <wp:extent cx="1049020" cy="435610"/>
                <wp:effectExtent l="4445" t="4445" r="13335" b="17145"/>
                <wp:wrapNone/>
                <wp:docPr id="45" name="AutoShape 29"/>
                <wp:cNvGraphicFramePr/>
                <a:graphic xmlns:a="http://schemas.openxmlformats.org/drawingml/2006/main">
                  <a:graphicData uri="http://schemas.microsoft.com/office/word/2010/wordprocessingShape">
                    <wps:wsp>
                      <wps:cNvSpPr/>
                      <wps:spPr>
                        <a:xfrm>
                          <a:off x="0" y="0"/>
                          <a:ext cx="1049020" cy="435610"/>
                        </a:xfrm>
                        <a:prstGeom prst="roundRect">
                          <a:avLst>
                            <a:gd name="adj" fmla="val 16667"/>
                          </a:avLst>
                        </a:prstGeom>
                        <a:solidFill>
                          <a:srgbClr val="F2DBDB"/>
                        </a:solidFill>
                        <a:ln w="9525" cap="flat" cmpd="sng">
                          <a:solidFill>
                            <a:srgbClr val="000000"/>
                          </a:solidFill>
                          <a:prstDash val="solid"/>
                          <a:headEnd type="none" w="med" len="med"/>
                          <a:tailEnd type="none" w="med" len="med"/>
                        </a:ln>
                        <a:effectLst/>
                      </wps:spPr>
                      <wps:txbx>
                        <w:txbxContent>
                          <w:p>
                            <w:pPr>
                              <w:jc w:val="center"/>
                              <w:rPr>
                                <w:sz w:val="16"/>
                                <w:szCs w:val="16"/>
                              </w:rPr>
                            </w:pPr>
                            <w:r>
                              <w:rPr>
                                <w:sz w:val="16"/>
                                <w:szCs w:val="16"/>
                              </w:rPr>
                              <w:t>Kelompok Jabatan Fungsional</w:t>
                            </w:r>
                          </w:p>
                        </w:txbxContent>
                      </wps:txbx>
                      <wps:bodyPr upright="1"/>
                    </wps:wsp>
                  </a:graphicData>
                </a:graphic>
              </wp:anchor>
            </w:drawing>
          </mc:Choice>
          <mc:Fallback>
            <w:pict>
              <v:roundrect id="AutoShape 29" o:spid="_x0000_s1026" o:spt="2" style="position:absolute;left:0pt;margin-left:1.9pt;margin-top:7.35pt;height:34.3pt;width:82.6pt;z-index:251688960;mso-width-relative:page;mso-height-relative:page;" fillcolor="#F2DBDB" filled="t" stroked="t" coordsize="21600,21600" arcsize="0.166666666666667" o:gfxdata="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6zr3NYAAAAHAQAADwAA&#10;AAAAAAABACAAAAAiAAAAZHJzL2Rvd25yZXYueG1sUEsBAhQAFAAAAAgAh07iQGKerBoYAgAAYwQA&#10;AA4AAAAAAAAAAQAgAAAAJQEAAGRycy9lMm9Eb2MueG1sUEsFBgAAAAAGAAYAWQEAAK8FAAAAAA==&#10;">
                <v:fill on="t" focussize="0,0"/>
                <v:stroke color="#000000" joinstyle="round"/>
                <v:imagedata o:title=""/>
                <o:lock v:ext="edit" aspectratio="f"/>
                <v:textbox>
                  <w:txbxContent>
                    <w:p>
                      <w:pPr>
                        <w:jc w:val="center"/>
                        <w:rPr>
                          <w:sz w:val="16"/>
                          <w:szCs w:val="16"/>
                        </w:rPr>
                      </w:pPr>
                      <w:r>
                        <w:rPr>
                          <w:sz w:val="16"/>
                          <w:szCs w:val="16"/>
                        </w:rPr>
                        <w:t>Kelompok Jabatan Fungsional</w:t>
                      </w:r>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74624" behindDoc="0" locked="0" layoutInCell="1" allowOverlap="1">
                <wp:simplePos x="0" y="0"/>
                <wp:positionH relativeFrom="column">
                  <wp:posOffset>4410710</wp:posOffset>
                </wp:positionH>
                <wp:positionV relativeFrom="paragraph">
                  <wp:posOffset>108585</wp:posOffset>
                </wp:positionV>
                <wp:extent cx="819150" cy="265430"/>
                <wp:effectExtent l="4445" t="4445" r="14605" b="15875"/>
                <wp:wrapNone/>
                <wp:docPr id="31" name="AutoShape 15"/>
                <wp:cNvGraphicFramePr/>
                <a:graphic xmlns:a="http://schemas.openxmlformats.org/drawingml/2006/main">
                  <a:graphicData uri="http://schemas.microsoft.com/office/word/2010/wordprocessingShape">
                    <wps:wsp>
                      <wps:cNvSpPr/>
                      <wps:spPr>
                        <a:xfrm>
                          <a:off x="0" y="0"/>
                          <a:ext cx="819150" cy="265430"/>
                        </a:xfrm>
                        <a:prstGeom prst="roundRect">
                          <a:avLst>
                            <a:gd name="adj" fmla="val 16667"/>
                          </a:avLst>
                        </a:prstGeom>
                        <a:solidFill>
                          <a:srgbClr val="FBD4B4"/>
                        </a:solidFill>
                        <a:ln w="9525" cap="flat" cmpd="sng">
                          <a:solidFill>
                            <a:srgbClr val="000000"/>
                          </a:solidFill>
                          <a:prstDash val="solid"/>
                          <a:headEnd type="none" w="med" len="med"/>
                          <a:tailEnd type="none" w="med" len="med"/>
                        </a:ln>
                        <a:effectLst/>
                      </wps:spPr>
                      <wps:txbx>
                        <w:txbxContent>
                          <w:p>
                            <w:pPr>
                              <w:jc w:val="center"/>
                              <w:rPr>
                                <w:sz w:val="16"/>
                                <w:szCs w:val="16"/>
                                <w:lang w:val="id-ID"/>
                              </w:rPr>
                            </w:pPr>
                            <w:r>
                              <w:rPr>
                                <w:sz w:val="16"/>
                                <w:szCs w:val="16"/>
                                <w:lang w:val="id-ID"/>
                              </w:rPr>
                              <w:t xml:space="preserve">  Sekretaris</w:t>
                            </w:r>
                          </w:p>
                        </w:txbxContent>
                      </wps:txbx>
                      <wps:bodyPr upright="1"/>
                    </wps:wsp>
                  </a:graphicData>
                </a:graphic>
              </wp:anchor>
            </w:drawing>
          </mc:Choice>
          <mc:Fallback>
            <w:pict>
              <v:roundrect id="AutoShape 15" o:spid="_x0000_s1026" o:spt="2" style="position:absolute;left:0pt;margin-left:347.3pt;margin-top:8.55pt;height:20.9pt;width:64.5pt;z-index:251674624;mso-width-relative:page;mso-height-relative:page;" fillcolor="#FBD4B4" filled="t" stroked="t" coordsize="21600,21600" arcsize="0.166666666666667" o:gfxdata="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9tRw2gAAAAkB&#10;AAAPAAAAAAAAAAEAIAAAACIAAABkcnMvZG93bnJldi54bWxQSwECFAAUAAAACACHTuJAHlR2phkC&#10;AABiBAAADgAAAAAAAAABACAAAAApAQAAZHJzL2Uyb0RvYy54bWxQSwUGAAAAAAYABgBZAQAAtAUA&#10;AAAA&#10;">
                <v:fill on="t" focussize="0,0"/>
                <v:stroke color="#000000" joinstyle="round"/>
                <v:imagedata o:title=""/>
                <o:lock v:ext="edit" aspectratio="f"/>
                <v:textbox>
                  <w:txbxContent>
                    <w:p>
                      <w:pPr>
                        <w:jc w:val="center"/>
                        <w:rPr>
                          <w:sz w:val="16"/>
                          <w:szCs w:val="16"/>
                          <w:lang w:val="id-ID"/>
                        </w:rPr>
                      </w:pPr>
                      <w:r>
                        <w:rPr>
                          <w:sz w:val="16"/>
                          <w:szCs w:val="16"/>
                          <w:lang w:val="id-ID"/>
                        </w:rPr>
                        <w:t xml:space="preserve">  Sekretaris</w:t>
                      </w:r>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93056" behindDoc="0" locked="0" layoutInCell="1" allowOverlap="1">
                <wp:simplePos x="0" y="0"/>
                <wp:positionH relativeFrom="column">
                  <wp:posOffset>213995</wp:posOffset>
                </wp:positionH>
                <wp:positionV relativeFrom="paragraph">
                  <wp:posOffset>15875</wp:posOffset>
                </wp:positionV>
                <wp:extent cx="2322830" cy="635"/>
                <wp:effectExtent l="0" t="0" r="0" b="0"/>
                <wp:wrapNone/>
                <wp:docPr id="49" name="AutoShape 34"/>
                <wp:cNvGraphicFramePr/>
                <a:graphic xmlns:a="http://schemas.openxmlformats.org/drawingml/2006/main">
                  <a:graphicData uri="http://schemas.microsoft.com/office/word/2010/wordprocessingShape">
                    <wps:wsp>
                      <wps:cNvCnPr/>
                      <wps:spPr>
                        <a:xfrm>
                          <a:off x="0" y="0"/>
                          <a:ext cx="2322830" cy="63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34" o:spid="_x0000_s1026" o:spt="32" type="#_x0000_t32" style="position:absolute;left:0pt;margin-left:16.85pt;margin-top:1.25pt;height:0.05pt;width:182.9pt;z-index:251693056;mso-width-relative:page;mso-height-relative:page;" filled="f" stroked="t" coordsize="21600,21600" o:gfxdata="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nKek7VAAAA&#10;BgEAAA8AAAAAAAAAAQAgAAAAIgAAAGRycy9kb3ducmV2LnhtbFBLAQIUABQAAAAIAIdO4kBvaE3s&#10;5wEAAPIDAAAOAAAAAAAAAAEAIAAAACQBAABkcnMvZTJvRG9jLnhtbFBLBQYAAAAABgAGAFkBAAB9&#10;BQ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03296" behindDoc="0" locked="0" layoutInCell="1" allowOverlap="1">
                <wp:simplePos x="0" y="0"/>
                <wp:positionH relativeFrom="column">
                  <wp:posOffset>205105</wp:posOffset>
                </wp:positionH>
                <wp:positionV relativeFrom="paragraph">
                  <wp:posOffset>15875</wp:posOffset>
                </wp:positionV>
                <wp:extent cx="0" cy="79375"/>
                <wp:effectExtent l="4445" t="0" r="14605" b="15875"/>
                <wp:wrapNone/>
                <wp:docPr id="60" name="AutoShape 45"/>
                <wp:cNvGraphicFramePr/>
                <a:graphic xmlns:a="http://schemas.openxmlformats.org/drawingml/2006/main">
                  <a:graphicData uri="http://schemas.microsoft.com/office/word/2010/wordprocessingShape">
                    <wps:wsp>
                      <wps:cNvCnPr/>
                      <wps:spPr>
                        <a:xfrm>
                          <a:off x="0" y="0"/>
                          <a:ext cx="0" cy="793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45" o:spid="_x0000_s1026" o:spt="32" type="#_x0000_t32" style="position:absolute;left:0pt;margin-left:16.15pt;margin-top:1.25pt;height:6.25pt;width:0pt;z-index:251703296;mso-width-relative:page;mso-height-relative:page;" filled="f" stroked="t" coordsize="21600,21600" o:gfxdata="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9MVCm0wAAAAYBAAAP&#10;AAAAAAAAAAEAIAAAACIAAABkcnMvZG93bnJldi54bWxQSwECFAAUAAAACACHTuJAzGnNBuQBAADu&#10;AwAADgAAAAAAAAABACAAAAAiAQAAZHJzL2Uyb0RvYy54bWxQSwUGAAAAAAYABgBZAQAAeAU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02272" behindDoc="0" locked="0" layoutInCell="1" allowOverlap="1">
                <wp:simplePos x="0" y="0"/>
                <wp:positionH relativeFrom="column">
                  <wp:posOffset>4906010</wp:posOffset>
                </wp:positionH>
                <wp:positionV relativeFrom="paragraph">
                  <wp:posOffset>15875</wp:posOffset>
                </wp:positionV>
                <wp:extent cx="0" cy="79375"/>
                <wp:effectExtent l="4445" t="0" r="14605" b="15875"/>
                <wp:wrapNone/>
                <wp:docPr id="59" name="AutoShape 44"/>
                <wp:cNvGraphicFramePr/>
                <a:graphic xmlns:a="http://schemas.openxmlformats.org/drawingml/2006/main">
                  <a:graphicData uri="http://schemas.microsoft.com/office/word/2010/wordprocessingShape">
                    <wps:wsp>
                      <wps:cNvCnPr/>
                      <wps:spPr>
                        <a:xfrm>
                          <a:off x="0" y="0"/>
                          <a:ext cx="0" cy="793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44" o:spid="_x0000_s1026" o:spt="32" type="#_x0000_t32" style="position:absolute;left:0pt;margin-left:386.3pt;margin-top:1.25pt;height:6.25pt;width:0pt;z-index:251702272;mso-width-relative:page;mso-height-relative:page;" filled="f" stroked="t" coordsize="21600,21600" o:gfxdata="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C+XsE1QAAAAgBAAAP&#10;AAAAAAAAAAEAIAAAACIAAABkcnMvZG93bnJldi54bWxQSwECFAAUAAAACACHTuJACOw2JOIBAADu&#10;AwAADgAAAAAAAAABACAAAAAkAQAAZHJzL2Uyb0RvYy54bWxQSwUGAAAAAAYABgBZAQAAeAU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94080" behindDoc="0" locked="0" layoutInCell="1" allowOverlap="1">
                <wp:simplePos x="0" y="0"/>
                <wp:positionH relativeFrom="column">
                  <wp:posOffset>3355975</wp:posOffset>
                </wp:positionH>
                <wp:positionV relativeFrom="paragraph">
                  <wp:posOffset>15875</wp:posOffset>
                </wp:positionV>
                <wp:extent cx="1550035" cy="0"/>
                <wp:effectExtent l="0" t="0" r="0" b="0"/>
                <wp:wrapNone/>
                <wp:docPr id="50" name="AutoShape 35"/>
                <wp:cNvGraphicFramePr/>
                <a:graphic xmlns:a="http://schemas.openxmlformats.org/drawingml/2006/main">
                  <a:graphicData uri="http://schemas.microsoft.com/office/word/2010/wordprocessingShape">
                    <wps:wsp>
                      <wps:cNvCnPr/>
                      <wps:spPr>
                        <a:xfrm>
                          <a:off x="0" y="0"/>
                          <a:ext cx="155003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35" o:spid="_x0000_s1026" o:spt="32" type="#_x0000_t32" style="position:absolute;left:0pt;margin-left:264.25pt;margin-top:1.25pt;height:0pt;width:122.05pt;z-index:251694080;mso-width-relative:page;mso-height-relative:page;" filled="f" stroked="t" coordsize="21600,21600" o:gfxdata="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nsGGtUAAAAHAQAA&#10;DwAAAAAAAAABACAAAAAiAAAAZHJzL2Rvd25yZXYueG1sUEsBAhQAFAAAAAgAh07iQPlf87LjAQAA&#10;8AMAAA4AAAAAAAAAAQAgAAAAJAEAAGRycy9lMm9Eb2MueG1sUEsFBgAAAAAGAAYAWQEAAHkFAAAA&#10;AA==&#10;">
                <v:fill on="f" focussize="0,0"/>
                <v:stroke color="#000000" joinstyle="round"/>
                <v:imagedata o:title=""/>
                <o:lock v:ext="edit" aspectratio="f"/>
              </v:shape>
            </w:pict>
          </mc:Fallback>
        </mc:AlternateContent>
      </w:r>
    </w:p>
    <w:p>
      <w:pPr>
        <w:tabs>
          <w:tab w:val="left" w:pos="1943"/>
        </w:tabs>
        <w:spacing w:after="0"/>
        <w:rPr>
          <w:rFonts w:ascii="Batang" w:hAnsi="Batang" w:eastAsia="Batang" w:cs="MS Reference Sans Serif"/>
          <w:b/>
          <w:bCs/>
          <w:lang w:val="id-ID"/>
        </w:rPr>
      </w:pPr>
      <w:r>
        <w:rPr>
          <w:rFonts w:ascii="Batang" w:hAnsi="Batang" w:eastAsia="Batang" w:cs="MS Reference Sans Serif"/>
          <w:b/>
          <w:bCs/>
          <w:lang w:val="id-ID" w:eastAsia="id-ID"/>
        </w:rPr>
        <mc:AlternateContent>
          <mc:Choice Requires="wps">
            <w:drawing>
              <wp:anchor distT="0" distB="0" distL="114300" distR="114300" simplePos="0" relativeHeight="251677696" behindDoc="0" locked="0" layoutInCell="1" allowOverlap="1">
                <wp:simplePos x="0" y="0"/>
                <wp:positionH relativeFrom="column">
                  <wp:posOffset>5454015</wp:posOffset>
                </wp:positionH>
                <wp:positionV relativeFrom="paragraph">
                  <wp:posOffset>198755</wp:posOffset>
                </wp:positionV>
                <wp:extent cx="641350" cy="353695"/>
                <wp:effectExtent l="4445" t="4445" r="20955" b="22860"/>
                <wp:wrapNone/>
                <wp:docPr id="34" name="AutoShape 18"/>
                <wp:cNvGraphicFramePr/>
                <a:graphic xmlns:a="http://schemas.openxmlformats.org/drawingml/2006/main">
                  <a:graphicData uri="http://schemas.microsoft.com/office/word/2010/wordprocessingShape">
                    <wps:wsp>
                      <wps:cNvSpPr/>
                      <wps:spPr>
                        <a:xfrm>
                          <a:off x="0" y="0"/>
                          <a:ext cx="641350" cy="353695"/>
                        </a:xfrm>
                        <a:prstGeom prst="roundRect">
                          <a:avLst>
                            <a:gd name="adj" fmla="val 16667"/>
                          </a:avLst>
                        </a:prstGeom>
                        <a:solidFill>
                          <a:srgbClr val="D6E3BC"/>
                        </a:solidFill>
                        <a:ln w="9525" cap="flat" cmpd="sng">
                          <a:solidFill>
                            <a:srgbClr val="000000"/>
                          </a:solidFill>
                          <a:prstDash val="solid"/>
                          <a:headEnd type="none" w="med" len="med"/>
                          <a:tailEnd type="none" w="med" len="med"/>
                        </a:ln>
                        <a:effectLst/>
                      </wps:spPr>
                      <wps:txbx>
                        <w:txbxContent>
                          <w:p>
                            <w:pPr>
                              <w:spacing w:after="0" w:line="240" w:lineRule="auto"/>
                              <w:jc w:val="center"/>
                              <w:rPr>
                                <w:lang w:val="id-ID"/>
                              </w:rPr>
                            </w:pPr>
                            <w:r>
                              <w:rPr>
                                <w:sz w:val="14"/>
                                <w:szCs w:val="14"/>
                              </w:rPr>
                              <w:t>Subbag</w:t>
                            </w:r>
                            <w:r>
                              <w:rPr>
                                <w:sz w:val="14"/>
                                <w:szCs w:val="14"/>
                                <w:lang w:val="id-ID"/>
                              </w:rPr>
                              <w:t xml:space="preserve">       Program</w:t>
                            </w:r>
                          </w:p>
                        </w:txbxContent>
                      </wps:txbx>
                      <wps:bodyPr upright="1"/>
                    </wps:wsp>
                  </a:graphicData>
                </a:graphic>
              </wp:anchor>
            </w:drawing>
          </mc:Choice>
          <mc:Fallback>
            <w:pict>
              <v:roundrect id="AutoShape 18" o:spid="_x0000_s1026" o:spt="2" style="position:absolute;left:0pt;margin-left:429.45pt;margin-top:15.65pt;height:27.85pt;width:50.5pt;z-index:251677696;mso-width-relative:page;mso-height-relative:page;" fillcolor="#D6E3BC" filled="t" stroked="t" coordsize="21600,21600" arcsize="0.166666666666667" o:gfxdata="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zxiaT1wAAAAkBAAAP&#10;AAAAAAAAAAEAIAAAACIAAABkcnMvZG93bnJldi54bWxQSwECFAAUAAAACACHTuJAVpru2xkCAABi&#10;BAAADgAAAAAAAAABACAAAAAmAQAAZHJzL2Uyb0RvYy54bWxQSwUGAAAAAAYABgBZAQAAsQUAAAAA&#10;">
                <v:fill on="t" focussize="0,0"/>
                <v:stroke color="#000000" joinstyle="round"/>
                <v:imagedata o:title=""/>
                <o:lock v:ext="edit" aspectratio="f"/>
                <v:textbox>
                  <w:txbxContent>
                    <w:p>
                      <w:pPr>
                        <w:spacing w:after="0" w:line="240" w:lineRule="auto"/>
                        <w:jc w:val="center"/>
                        <w:rPr>
                          <w:lang w:val="id-ID"/>
                        </w:rPr>
                      </w:pPr>
                      <w:r>
                        <w:rPr>
                          <w:sz w:val="14"/>
                          <w:szCs w:val="14"/>
                        </w:rPr>
                        <w:t>Subbag</w:t>
                      </w:r>
                      <w:r>
                        <w:rPr>
                          <w:sz w:val="14"/>
                          <w:szCs w:val="14"/>
                          <w:lang w:val="id-ID"/>
                        </w:rPr>
                        <w:t xml:space="preserve">       Program</w:t>
                      </w:r>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76672" behindDoc="0" locked="0" layoutInCell="1" allowOverlap="1">
                <wp:simplePos x="0" y="0"/>
                <wp:positionH relativeFrom="column">
                  <wp:posOffset>4454525</wp:posOffset>
                </wp:positionH>
                <wp:positionV relativeFrom="paragraph">
                  <wp:posOffset>191770</wp:posOffset>
                </wp:positionV>
                <wp:extent cx="775335" cy="353695"/>
                <wp:effectExtent l="4445" t="4445" r="20320" b="22860"/>
                <wp:wrapNone/>
                <wp:docPr id="33" name="AutoShape 17"/>
                <wp:cNvGraphicFramePr/>
                <a:graphic xmlns:a="http://schemas.openxmlformats.org/drawingml/2006/main">
                  <a:graphicData uri="http://schemas.microsoft.com/office/word/2010/wordprocessingShape">
                    <wps:wsp>
                      <wps:cNvSpPr/>
                      <wps:spPr>
                        <a:xfrm>
                          <a:off x="0" y="0"/>
                          <a:ext cx="775335" cy="353695"/>
                        </a:xfrm>
                        <a:prstGeom prst="roundRect">
                          <a:avLst>
                            <a:gd name="adj" fmla="val 16667"/>
                          </a:avLst>
                        </a:prstGeom>
                        <a:solidFill>
                          <a:srgbClr val="D6E3BC"/>
                        </a:solidFill>
                        <a:ln w="9525" cap="flat" cmpd="sng">
                          <a:solidFill>
                            <a:srgbClr val="000000"/>
                          </a:solidFill>
                          <a:prstDash val="solid"/>
                          <a:headEnd type="none" w="med" len="med"/>
                          <a:tailEnd type="none" w="med" len="med"/>
                        </a:ln>
                        <a:effectLst/>
                      </wps:spPr>
                      <wps:txbx>
                        <w:txbxContent>
                          <w:p>
                            <w:pPr>
                              <w:spacing w:after="0" w:line="240" w:lineRule="auto"/>
                              <w:jc w:val="center"/>
                            </w:pPr>
                            <w:r>
                              <w:rPr>
                                <w:sz w:val="14"/>
                                <w:szCs w:val="14"/>
                              </w:rPr>
                              <w:t>Subbag Keuangan</w:t>
                            </w:r>
                          </w:p>
                        </w:txbxContent>
                      </wps:txbx>
                      <wps:bodyPr upright="1"/>
                    </wps:wsp>
                  </a:graphicData>
                </a:graphic>
              </wp:anchor>
            </w:drawing>
          </mc:Choice>
          <mc:Fallback>
            <w:pict>
              <v:roundrect id="AutoShape 17" o:spid="_x0000_s1026" o:spt="2" style="position:absolute;left:0pt;margin-left:350.75pt;margin-top:15.1pt;height:27.85pt;width:61.05pt;z-index:251676672;mso-width-relative:page;mso-height-relative:page;" fillcolor="#D6E3BC" filled="t" stroked="t" coordsize="21600,21600" arcsize="0.166666666666667" o:gfxdata="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0n0vNkAAAAJAQAA&#10;DwAAAAAAAAABACAAAAAiAAAAZHJzL2Rvd25yZXYueG1sUEsBAhQAFAAAAAgAh07iQD9rUBwYAgAA&#10;YgQAAA4AAAAAAAAAAQAgAAAAKAEAAGRycy9lMm9Eb2MueG1sUEsFBgAAAAAGAAYAWQEAALIFAAAA&#10;AA==&#10;">
                <v:fill on="t" focussize="0,0"/>
                <v:stroke color="#000000" joinstyle="round"/>
                <v:imagedata o:title=""/>
                <o:lock v:ext="edit" aspectratio="f"/>
                <v:textbox>
                  <w:txbxContent>
                    <w:p>
                      <w:pPr>
                        <w:spacing w:after="0" w:line="240" w:lineRule="auto"/>
                        <w:jc w:val="center"/>
                      </w:pPr>
                      <w:r>
                        <w:rPr>
                          <w:sz w:val="14"/>
                          <w:szCs w:val="14"/>
                        </w:rPr>
                        <w:t>Subbag Keuangan</w:t>
                      </w:r>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75648" behindDoc="0" locked="0" layoutInCell="1" allowOverlap="1">
                <wp:simplePos x="0" y="0"/>
                <wp:positionH relativeFrom="column">
                  <wp:posOffset>3430905</wp:posOffset>
                </wp:positionH>
                <wp:positionV relativeFrom="paragraph">
                  <wp:posOffset>193675</wp:posOffset>
                </wp:positionV>
                <wp:extent cx="885825" cy="353695"/>
                <wp:effectExtent l="4445" t="4445" r="5080" b="22860"/>
                <wp:wrapNone/>
                <wp:docPr id="32" name="AutoShape 16"/>
                <wp:cNvGraphicFramePr/>
                <a:graphic xmlns:a="http://schemas.openxmlformats.org/drawingml/2006/main">
                  <a:graphicData uri="http://schemas.microsoft.com/office/word/2010/wordprocessingShape">
                    <wps:wsp>
                      <wps:cNvSpPr/>
                      <wps:spPr>
                        <a:xfrm>
                          <a:off x="0" y="0"/>
                          <a:ext cx="885825" cy="353695"/>
                        </a:xfrm>
                        <a:prstGeom prst="roundRect">
                          <a:avLst>
                            <a:gd name="adj" fmla="val 16667"/>
                          </a:avLst>
                        </a:prstGeom>
                        <a:solidFill>
                          <a:srgbClr val="D6E3BC"/>
                        </a:solidFill>
                        <a:ln w="9525" cap="flat" cmpd="sng">
                          <a:solidFill>
                            <a:srgbClr val="000000"/>
                          </a:solidFill>
                          <a:prstDash val="solid"/>
                          <a:headEnd type="none" w="med" len="med"/>
                          <a:tailEnd type="none" w="med" len="med"/>
                        </a:ln>
                        <a:effectLst/>
                      </wps:spPr>
                      <wps:txbx>
                        <w:txbxContent>
                          <w:p>
                            <w:pPr>
                              <w:spacing w:after="0" w:line="240" w:lineRule="auto"/>
                              <w:jc w:val="center"/>
                            </w:pPr>
                            <w:r>
                              <w:rPr>
                                <w:sz w:val="14"/>
                                <w:szCs w:val="14"/>
                              </w:rPr>
                              <w:t>Subbag Umum dan Kepegawaian</w:t>
                            </w:r>
                          </w:p>
                        </w:txbxContent>
                      </wps:txbx>
                      <wps:bodyPr upright="1"/>
                    </wps:wsp>
                  </a:graphicData>
                </a:graphic>
              </wp:anchor>
            </w:drawing>
          </mc:Choice>
          <mc:Fallback>
            <w:pict>
              <v:roundrect id="AutoShape 16" o:spid="_x0000_s1026" o:spt="2" style="position:absolute;left:0pt;margin-left:270.15pt;margin-top:15.25pt;height:27.85pt;width:69.75pt;z-index:251675648;mso-width-relative:page;mso-height-relative:page;" fillcolor="#D6E3BC" filled="t" stroked="t" coordsize="21600,21600" arcsize="0.166666666666667" o:gfxdata="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wNm7nZAAAACQEAAA8A&#10;AAAAAAAAAQAgAAAAIgAAAGRycy9kb3ducmV2LnhtbFBLAQIUABQAAAAIAIdO4kDDAJMxFgIAAGIE&#10;AAAOAAAAAAAAAAEAIAAAACgBAABkcnMvZTJvRG9jLnhtbFBLBQYAAAAABgAGAFkBAACwBQAAAAA=&#10;">
                <v:fill on="t" focussize="0,0"/>
                <v:stroke color="#000000" joinstyle="round"/>
                <v:imagedata o:title=""/>
                <o:lock v:ext="edit" aspectratio="f"/>
                <v:textbox>
                  <w:txbxContent>
                    <w:p>
                      <w:pPr>
                        <w:spacing w:after="0" w:line="240" w:lineRule="auto"/>
                        <w:jc w:val="center"/>
                      </w:pPr>
                      <w:r>
                        <w:rPr>
                          <w:sz w:val="14"/>
                          <w:szCs w:val="14"/>
                        </w:rPr>
                        <w:t>Subbag Umum dan Kepegawaian</w:t>
                      </w:r>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06368" behindDoc="0" locked="0" layoutInCell="1" allowOverlap="1">
                <wp:simplePos x="0" y="0"/>
                <wp:positionH relativeFrom="column">
                  <wp:posOffset>5897880</wp:posOffset>
                </wp:positionH>
                <wp:positionV relativeFrom="paragraph">
                  <wp:posOffset>131445</wp:posOffset>
                </wp:positionV>
                <wp:extent cx="0" cy="62230"/>
                <wp:effectExtent l="4445" t="0" r="14605" b="13970"/>
                <wp:wrapNone/>
                <wp:docPr id="63" name="AutoShape 48"/>
                <wp:cNvGraphicFramePr/>
                <a:graphic xmlns:a="http://schemas.openxmlformats.org/drawingml/2006/main">
                  <a:graphicData uri="http://schemas.microsoft.com/office/word/2010/wordprocessingShape">
                    <wps:wsp>
                      <wps:cNvCnPr/>
                      <wps:spPr>
                        <a:xfrm>
                          <a:off x="0" y="0"/>
                          <a:ext cx="0" cy="6223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48" o:spid="_x0000_s1026" o:spt="32" type="#_x0000_t32" style="position:absolute;left:0pt;margin-left:464.4pt;margin-top:10.35pt;height:4.9pt;width:0pt;z-index:251706368;mso-width-relative:page;mso-height-relative:page;" filled="f" stroked="t" coordsize="21600,21600" o:gfxdata="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baoCNcAAAAJ&#10;AQAADwAAAAAAAAABACAAAAAiAAAAZHJzL2Rvd25yZXYueG1sUEsBAhQAFAAAAAgAh07iQKX0SUDk&#10;AQAA7gMAAA4AAAAAAAAAAQAgAAAAJgEAAGRycy9lMm9Eb2MueG1sUEsFBgAAAAAGAAYAWQEAAHwF&#10;A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04320" behindDoc="0" locked="0" layoutInCell="1" allowOverlap="1">
                <wp:simplePos x="0" y="0"/>
                <wp:positionH relativeFrom="column">
                  <wp:posOffset>3844925</wp:posOffset>
                </wp:positionH>
                <wp:positionV relativeFrom="paragraph">
                  <wp:posOffset>131445</wp:posOffset>
                </wp:positionV>
                <wp:extent cx="0" cy="62230"/>
                <wp:effectExtent l="4445" t="0" r="14605" b="13970"/>
                <wp:wrapNone/>
                <wp:docPr id="61" name="AutoShape 46"/>
                <wp:cNvGraphicFramePr/>
                <a:graphic xmlns:a="http://schemas.openxmlformats.org/drawingml/2006/main">
                  <a:graphicData uri="http://schemas.microsoft.com/office/word/2010/wordprocessingShape">
                    <wps:wsp>
                      <wps:cNvCnPr/>
                      <wps:spPr>
                        <a:xfrm>
                          <a:off x="0" y="0"/>
                          <a:ext cx="0" cy="6223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46" o:spid="_x0000_s1026" o:spt="32" type="#_x0000_t32" style="position:absolute;left:0pt;margin-left:302.75pt;margin-top:10.35pt;height:4.9pt;width:0pt;z-index:251704320;mso-width-relative:page;mso-height-relative:page;" filled="f" stroked="t" coordsize="21600,21600" o:gfxdata="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Zs1RfWAAAACQEA&#10;AA8AAAAAAAAAAQAgAAAAIgAAAGRycy9kb3ducmV2LnhtbFBLAQIUABQAAAAIAIdO4kAnI1Pv4wEA&#10;AO4DAAAOAAAAAAAAAAEAIAAAACUBAABkcnMvZTJvRG9jLnhtbFBLBQYAAAAABgAGAFkBAAB6BQAA&#10;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95104" behindDoc="0" locked="0" layoutInCell="1" allowOverlap="1">
                <wp:simplePos x="0" y="0"/>
                <wp:positionH relativeFrom="column">
                  <wp:posOffset>3844925</wp:posOffset>
                </wp:positionH>
                <wp:positionV relativeFrom="paragraph">
                  <wp:posOffset>131445</wp:posOffset>
                </wp:positionV>
                <wp:extent cx="2052955" cy="0"/>
                <wp:effectExtent l="0" t="0" r="0" b="0"/>
                <wp:wrapNone/>
                <wp:docPr id="51" name="AutoShape 36"/>
                <wp:cNvGraphicFramePr/>
                <a:graphic xmlns:a="http://schemas.openxmlformats.org/drawingml/2006/main">
                  <a:graphicData uri="http://schemas.microsoft.com/office/word/2010/wordprocessingShape">
                    <wps:wsp>
                      <wps:cNvCnPr/>
                      <wps:spPr>
                        <a:xfrm>
                          <a:off x="0" y="0"/>
                          <a:ext cx="205295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36" o:spid="_x0000_s1026" o:spt="32" type="#_x0000_t32" style="position:absolute;left:0pt;margin-left:302.75pt;margin-top:10.35pt;height:0pt;width:161.65pt;z-index:251695104;mso-width-relative:page;mso-height-relative:page;" filled="f" stroked="t" coordsize="21600,21600" o:gfxdata="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erYnDXAAAA&#10;CQEAAA8AAAAAAAAAAQAgAAAAIgAAAGRycy9kb3ducmV2LnhtbFBLAQIUABQAAAAIAIdO4kClUbZ8&#10;5QEAAPADAAAOAAAAAAAAAAEAIAAAACYBAABkcnMvZTJvRG9jLnhtbFBLBQYAAAAABgAGAFkBAAB9&#10;BQAAAAA=&#10;">
                <v:fill on="f" focussize="0,0"/>
                <v:stroke color="#000000" joinstyle="round"/>
                <v:imagedata o:title=""/>
                <o:lock v:ext="edit" aspectratio="f"/>
              </v:shape>
            </w:pict>
          </mc:Fallback>
        </mc:AlternateContent>
      </w:r>
    </w:p>
    <w:p>
      <w:pPr>
        <w:rPr>
          <w:rFonts w:ascii="Batang" w:hAnsi="Batang" w:eastAsia="Batang" w:cs="MS Reference Sans Serif"/>
          <w:lang w:val="id-ID"/>
        </w:rPr>
      </w:pPr>
    </w:p>
    <w:p>
      <w:pPr>
        <w:rPr>
          <w:rFonts w:ascii="Batang" w:hAnsi="Batang" w:eastAsia="Batang" w:cs="MS Reference Sans Serif"/>
          <w:lang w:val="id-ID"/>
        </w:rPr>
      </w:pPr>
      <w:r>
        <mc:AlternateContent>
          <mc:Choice Requires="wps">
            <w:drawing>
              <wp:anchor distT="0" distB="0" distL="114300" distR="114300" simplePos="0" relativeHeight="251738112" behindDoc="0" locked="0" layoutInCell="1" allowOverlap="1">
                <wp:simplePos x="0" y="0"/>
                <wp:positionH relativeFrom="column">
                  <wp:posOffset>5226050</wp:posOffset>
                </wp:positionH>
                <wp:positionV relativeFrom="paragraph">
                  <wp:posOffset>394335</wp:posOffset>
                </wp:positionV>
                <wp:extent cx="0" cy="1889125"/>
                <wp:effectExtent l="5080" t="0" r="13970" b="15875"/>
                <wp:wrapNone/>
                <wp:docPr id="97" name="Straight Connector 97"/>
                <wp:cNvGraphicFramePr/>
                <a:graphic xmlns:a="http://schemas.openxmlformats.org/drawingml/2006/main">
                  <a:graphicData uri="http://schemas.microsoft.com/office/word/2010/wordprocessingShape">
                    <wps:wsp>
                      <wps:cNvCnPr/>
                      <wps:spPr>
                        <a:xfrm>
                          <a:off x="6306185" y="3582670"/>
                          <a:ext cx="0" cy="188912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411.5pt;margin-top:31.05pt;height:148.75pt;width:0pt;z-index:251738112;mso-width-relative:page;mso-height-relative:page;" filled="f" stroked="t" coordsize="21600,21600" o:gfxdata="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X1VXy1wAAAAoBAAAPAAAAAAAAAAEAIAAAACIAAABkcnMvZG93bnJldi54bWxQSwECFAAU&#10;AAAACACHTuJA14MYF/IBAADyAwAADgAAAAAAAAABACAAAAAmAQAAZHJzL2Uyb0RvYy54bWxQSwUG&#10;AAAAAAYABgBZAQAAigUAAAAA&#10;">
                <v:fill on="f" focussize="0,0"/>
                <v:stroke color="#000000" joinstyle="round"/>
                <v:imagedata o:title=""/>
                <o:lock v:ext="edit" aspectratio="f"/>
              </v:lin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09440" behindDoc="0" locked="0" layoutInCell="1" allowOverlap="1">
                <wp:simplePos x="0" y="0"/>
                <wp:positionH relativeFrom="column">
                  <wp:posOffset>2510155</wp:posOffset>
                </wp:positionH>
                <wp:positionV relativeFrom="paragraph">
                  <wp:posOffset>83185</wp:posOffset>
                </wp:positionV>
                <wp:extent cx="0" cy="95250"/>
                <wp:effectExtent l="4445" t="0" r="14605" b="0"/>
                <wp:wrapNone/>
                <wp:docPr id="66" name="AutoShape 51"/>
                <wp:cNvGraphicFramePr/>
                <a:graphic xmlns:a="http://schemas.openxmlformats.org/drawingml/2006/main">
                  <a:graphicData uri="http://schemas.microsoft.com/office/word/2010/wordprocessingShape">
                    <wps:wsp>
                      <wps:cNvCnPr/>
                      <wps:spPr>
                        <a:xfrm>
                          <a:off x="0" y="0"/>
                          <a:ext cx="0" cy="95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51" o:spid="_x0000_s1026" o:spt="32" type="#_x0000_t32" style="position:absolute;left:0pt;margin-left:197.65pt;margin-top:6.55pt;height:7.5pt;width:0pt;z-index:251709440;mso-width-relative:page;mso-height-relative:page;" filled="f" stroked="t" coordsize="21600,21600" o:gfxdata="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TyjvQtYAAAAJAQAADwAA&#10;AAAAAAABACAAAAAiAAAAZHJzL2Rvd25yZXYueG1sUEsBAhQAFAAAAAgAh07iQDoPRHjfAQAA7gMA&#10;AA4AAAAAAAAAAQAgAAAAJQEAAGRycy9lMm9Eb2MueG1sUEsFBgAAAAAGAAYAWQEAAHYFA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08416" behindDoc="0" locked="0" layoutInCell="1" allowOverlap="1">
                <wp:simplePos x="0" y="0"/>
                <wp:positionH relativeFrom="column">
                  <wp:posOffset>1518285</wp:posOffset>
                </wp:positionH>
                <wp:positionV relativeFrom="paragraph">
                  <wp:posOffset>83820</wp:posOffset>
                </wp:positionV>
                <wp:extent cx="635" cy="94615"/>
                <wp:effectExtent l="4445" t="0" r="13970" b="635"/>
                <wp:wrapNone/>
                <wp:docPr id="65" name="AutoShape 50"/>
                <wp:cNvGraphicFramePr/>
                <a:graphic xmlns:a="http://schemas.openxmlformats.org/drawingml/2006/main">
                  <a:graphicData uri="http://schemas.microsoft.com/office/word/2010/wordprocessingShape">
                    <wps:wsp>
                      <wps:cNvCnPr/>
                      <wps:spPr>
                        <a:xfrm>
                          <a:off x="0" y="0"/>
                          <a:ext cx="635" cy="946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50" o:spid="_x0000_s1026" o:spt="32" type="#_x0000_t32" style="position:absolute;left:0pt;margin-left:119.55pt;margin-top:6.6pt;height:7.45pt;width:0.05pt;z-index:251708416;mso-width-relative:page;mso-height-relative:page;" filled="f" stroked="t" coordsize="21600,21600" o:gfxdata="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6ZxYtYAAAAJAQAA&#10;DwAAAAAAAAABACAAAAAiAAAAZHJzL2Rvd25yZXYueG1sUEsBAhQAFAAAAAgAh07iQIEUFI3iAQAA&#10;8AMAAA4AAAAAAAAAAQAgAAAAJQEAAGRycy9lMm9Eb2MueG1sUEsFBgAAAAAGAAYAWQEAAHkFAAAA&#10;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10464" behindDoc="0" locked="0" layoutInCell="1" allowOverlap="1">
                <wp:simplePos x="0" y="0"/>
                <wp:positionH relativeFrom="column">
                  <wp:posOffset>3699510</wp:posOffset>
                </wp:positionH>
                <wp:positionV relativeFrom="paragraph">
                  <wp:posOffset>83185</wp:posOffset>
                </wp:positionV>
                <wp:extent cx="0" cy="95250"/>
                <wp:effectExtent l="4445" t="0" r="14605" b="0"/>
                <wp:wrapNone/>
                <wp:docPr id="67" name="AutoShape 52"/>
                <wp:cNvGraphicFramePr/>
                <a:graphic xmlns:a="http://schemas.openxmlformats.org/drawingml/2006/main">
                  <a:graphicData uri="http://schemas.microsoft.com/office/word/2010/wordprocessingShape">
                    <wps:wsp>
                      <wps:cNvCnPr/>
                      <wps:spPr>
                        <a:xfrm>
                          <a:off x="0" y="0"/>
                          <a:ext cx="0" cy="95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52" o:spid="_x0000_s1026" o:spt="32" type="#_x0000_t32" style="position:absolute;left:0pt;margin-left:291.3pt;margin-top:6.55pt;height:7.5pt;width:0pt;z-index:251710464;mso-width-relative:page;mso-height-relative:page;" filled="f" stroked="t" coordsize="21600,21600" o:gfxdata="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ySSC7WAAAACQEAAA8A&#10;AAAAAAAAAQAgAAAAIgAAAGRycy9kb3ducmV2LnhtbFBLAQIUABQAAAAIAIdO4kDwwG724AEAAO4D&#10;AAAOAAAAAAAAAAEAIAAAACUBAABkcnMvZTJvRG9jLnhtbFBLBQYAAAAABgAGAFkBAAB3BQ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11488" behindDoc="0" locked="0" layoutInCell="1" allowOverlap="1">
                <wp:simplePos x="0" y="0"/>
                <wp:positionH relativeFrom="column">
                  <wp:posOffset>4630420</wp:posOffset>
                </wp:positionH>
                <wp:positionV relativeFrom="paragraph">
                  <wp:posOffset>83185</wp:posOffset>
                </wp:positionV>
                <wp:extent cx="0" cy="95250"/>
                <wp:effectExtent l="4445" t="0" r="14605" b="0"/>
                <wp:wrapNone/>
                <wp:docPr id="68" name="AutoShape 53"/>
                <wp:cNvGraphicFramePr/>
                <a:graphic xmlns:a="http://schemas.openxmlformats.org/drawingml/2006/main">
                  <a:graphicData uri="http://schemas.microsoft.com/office/word/2010/wordprocessingShape">
                    <wps:wsp>
                      <wps:cNvCnPr/>
                      <wps:spPr>
                        <a:xfrm>
                          <a:off x="0" y="0"/>
                          <a:ext cx="0" cy="95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53" o:spid="_x0000_s1026" o:spt="32" type="#_x0000_t32" style="position:absolute;left:0pt;margin-left:364.6pt;margin-top:6.55pt;height:7.5pt;width:0pt;z-index:251711488;mso-width-relative:page;mso-height-relative:page;" filled="f" stroked="t" coordsize="21600,21600" o:gfxdata="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MJgovtUAAAAJAQAADwAA&#10;AAAAAAABACAAAAAiAAAAZHJzL2Rvd25yZXYueG1sUEsBAhQAFAAAAAgAh07iQHxUVJDgAQAA7gMA&#10;AA4AAAAAAAAAAQAgAAAAJAEAAGRycy9lMm9Eb2MueG1sUEsFBgAAAAAGAAYAWQEAAHYFA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07392" behindDoc="0" locked="0" layoutInCell="1" allowOverlap="1">
                <wp:simplePos x="0" y="0"/>
                <wp:positionH relativeFrom="column">
                  <wp:posOffset>363855</wp:posOffset>
                </wp:positionH>
                <wp:positionV relativeFrom="paragraph">
                  <wp:posOffset>72390</wp:posOffset>
                </wp:positionV>
                <wp:extent cx="0" cy="95250"/>
                <wp:effectExtent l="4445" t="0" r="14605" b="0"/>
                <wp:wrapNone/>
                <wp:docPr id="64" name="AutoShape 49"/>
                <wp:cNvGraphicFramePr/>
                <a:graphic xmlns:a="http://schemas.openxmlformats.org/drawingml/2006/main">
                  <a:graphicData uri="http://schemas.microsoft.com/office/word/2010/wordprocessingShape">
                    <wps:wsp>
                      <wps:cNvCnPr/>
                      <wps:spPr>
                        <a:xfrm>
                          <a:off x="0" y="0"/>
                          <a:ext cx="0" cy="95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49" o:spid="_x0000_s1026" o:spt="32" type="#_x0000_t32" style="position:absolute;left:0pt;margin-left:28.65pt;margin-top:5.7pt;height:7.5pt;width:0pt;z-index:251707392;mso-width-relative:page;mso-height-relative:page;" filled="f" stroked="t" coordsize="21600,21600" o:gfxdata="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4ptSANQAAAAHAQAADwAA&#10;AAAAAAABACAAAAAiAAAAZHJzL2Rvd25yZXYueG1sUEsBAhQAFAAAAAgAh07iQB3yUKrhAQAA7gMA&#10;AA4AAAAAAAAAAQAgAAAAIwEAAGRycy9lMm9Eb2MueG1sUEsFBgAAAAAGAAYAWQEAAHYFA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96128" behindDoc="0" locked="0" layoutInCell="1" allowOverlap="1">
                <wp:simplePos x="0" y="0"/>
                <wp:positionH relativeFrom="column">
                  <wp:posOffset>352425</wp:posOffset>
                </wp:positionH>
                <wp:positionV relativeFrom="paragraph">
                  <wp:posOffset>68580</wp:posOffset>
                </wp:positionV>
                <wp:extent cx="5372100" cy="2540"/>
                <wp:effectExtent l="0" t="0" r="0" b="0"/>
                <wp:wrapNone/>
                <wp:docPr id="52" name="AutoShape 37"/>
                <wp:cNvGraphicFramePr/>
                <a:graphic xmlns:a="http://schemas.openxmlformats.org/drawingml/2006/main">
                  <a:graphicData uri="http://schemas.microsoft.com/office/word/2010/wordprocessingShape">
                    <wps:wsp>
                      <wps:cNvCnPr/>
                      <wps:spPr>
                        <a:xfrm flipV="1">
                          <a:off x="0" y="0"/>
                          <a:ext cx="5372100" cy="25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37" o:spid="_x0000_s1026" o:spt="32" type="#_x0000_t32" style="position:absolute;left:0pt;flip:y;margin-left:27.75pt;margin-top:5.4pt;height:0.2pt;width:423pt;z-index:251696128;mso-width-relative:page;mso-height-relative:page;" filled="f" stroked="t" coordsize="21600,21600" o:gfxdata="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EVoyd1QAAAAgBAAAPAAAAAAAAAAEAIAAAACIAAABkcnMvZG93bnJldi54bWxQSwECFAAUAAAA&#10;CACHTuJAMzFjiPEBAAD9AwAADgAAAAAAAAABACAAAAAkAQAAZHJzL2Uyb0RvYy54bWxQSwUGAAAA&#10;AAYABgBZAQAAhwU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12512" behindDoc="0" locked="0" layoutInCell="1" allowOverlap="1">
                <wp:simplePos x="0" y="0"/>
                <wp:positionH relativeFrom="column">
                  <wp:posOffset>5713730</wp:posOffset>
                </wp:positionH>
                <wp:positionV relativeFrom="paragraph">
                  <wp:posOffset>72390</wp:posOffset>
                </wp:positionV>
                <wp:extent cx="0" cy="95250"/>
                <wp:effectExtent l="4445" t="0" r="14605" b="0"/>
                <wp:wrapNone/>
                <wp:docPr id="69" name="AutoShape 54"/>
                <wp:cNvGraphicFramePr/>
                <a:graphic xmlns:a="http://schemas.openxmlformats.org/drawingml/2006/main">
                  <a:graphicData uri="http://schemas.microsoft.com/office/word/2010/wordprocessingShape">
                    <wps:wsp>
                      <wps:cNvCnPr/>
                      <wps:spPr>
                        <a:xfrm>
                          <a:off x="0" y="0"/>
                          <a:ext cx="0" cy="95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54" o:spid="_x0000_s1026" o:spt="32" type="#_x0000_t32" style="position:absolute;left:0pt;margin-left:449.9pt;margin-top:5.7pt;height:7.5pt;width:0pt;z-index:251712512;mso-width-relative:page;mso-height-relative:page;" filled="f" stroked="t" coordsize="21600,21600" o:gfxdata="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Fq1FZ1wAAAAkBAAAP&#10;AAAAAAAAAAEAIAAAACIAAABkcnMvZG93bnJldi54bWxQSwECFAAUAAAACACHTuJAvT/Zx+ABAADu&#10;AwAADgAAAAAAAAABACAAAAAmAQAAZHJzL2Uyb0RvYy54bWxQSwUGAAAAAAYABgBZAQAAeAU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81792" behindDoc="0" locked="0" layoutInCell="1" allowOverlap="1">
                <wp:simplePos x="0" y="0"/>
                <wp:positionH relativeFrom="column">
                  <wp:posOffset>24130</wp:posOffset>
                </wp:positionH>
                <wp:positionV relativeFrom="paragraph">
                  <wp:posOffset>214630</wp:posOffset>
                </wp:positionV>
                <wp:extent cx="819150" cy="405765"/>
                <wp:effectExtent l="4445" t="4445" r="14605" b="8890"/>
                <wp:wrapNone/>
                <wp:docPr id="38" name="AutoShape 22"/>
                <wp:cNvGraphicFramePr/>
                <a:graphic xmlns:a="http://schemas.openxmlformats.org/drawingml/2006/main">
                  <a:graphicData uri="http://schemas.microsoft.com/office/word/2010/wordprocessingShape">
                    <wps:wsp>
                      <wps:cNvSpPr/>
                      <wps:spPr>
                        <a:xfrm>
                          <a:off x="0" y="0"/>
                          <a:ext cx="819150" cy="405765"/>
                        </a:xfrm>
                        <a:prstGeom prst="roundRect">
                          <a:avLst>
                            <a:gd name="adj" fmla="val 16667"/>
                          </a:avLst>
                        </a:prstGeom>
                        <a:solidFill>
                          <a:srgbClr val="FBD4B4"/>
                        </a:solidFill>
                        <a:ln w="9525" cap="flat" cmpd="sng">
                          <a:solidFill>
                            <a:srgbClr val="000000"/>
                          </a:solidFill>
                          <a:prstDash val="solid"/>
                          <a:headEnd type="none" w="med" len="med"/>
                          <a:tailEnd type="none" w="med" len="med"/>
                        </a:ln>
                        <a:effectLst/>
                      </wps:spPr>
                      <wps:txbx>
                        <w:txbxContent>
                          <w:p>
                            <w:pPr>
                              <w:spacing w:after="0" w:line="240" w:lineRule="auto"/>
                              <w:jc w:val="center"/>
                              <w:rPr>
                                <w:sz w:val="14"/>
                                <w:szCs w:val="14"/>
                              </w:rPr>
                            </w:pPr>
                            <w:r>
                              <w:rPr>
                                <w:sz w:val="14"/>
                                <w:szCs w:val="14"/>
                              </w:rPr>
                              <w:t>Bidang Pajak Daerah</w:t>
                            </w:r>
                          </w:p>
                        </w:txbxContent>
                      </wps:txbx>
                      <wps:bodyPr upright="1"/>
                    </wps:wsp>
                  </a:graphicData>
                </a:graphic>
              </wp:anchor>
            </w:drawing>
          </mc:Choice>
          <mc:Fallback>
            <w:pict>
              <v:roundrect id="AutoShape 22" o:spid="_x0000_s1026" o:spt="2" style="position:absolute;left:0pt;margin-left:1.9pt;margin-top:16.9pt;height:31.95pt;width:64.5pt;z-index:251681792;mso-width-relative:page;mso-height-relative:page;" fillcolor="#FBD4B4" filled="t" stroked="t" coordsize="21600,21600" arcsize="0.166666666666667" o:gfxdata="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6nW2tYAAAAHAQAADwAA&#10;AAAAAAABACAAAAAiAAAAZHJzL2Rvd25yZXYueG1sUEsBAhQAFAAAAAgAh07iQJzBPOwYAgAAYgQA&#10;AA4AAAAAAAAAAQAgAAAAJQEAAGRycy9lMm9Eb2MueG1sUEsFBgAAAAAGAAYAWQEAAK8FAAAAAA==&#10;">
                <v:fill on="t" focussize="0,0"/>
                <v:stroke color="#000000" joinstyle="round"/>
                <v:imagedata o:title=""/>
                <o:lock v:ext="edit" aspectratio="f"/>
                <v:textbox>
                  <w:txbxContent>
                    <w:p>
                      <w:pPr>
                        <w:spacing w:after="0" w:line="240" w:lineRule="auto"/>
                        <w:jc w:val="center"/>
                        <w:rPr>
                          <w:sz w:val="14"/>
                          <w:szCs w:val="14"/>
                        </w:rPr>
                      </w:pPr>
                      <w:r>
                        <w:rPr>
                          <w:sz w:val="14"/>
                          <w:szCs w:val="14"/>
                        </w:rPr>
                        <w:t>Bidang Pajak Daerah</w:t>
                      </w:r>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82816" behindDoc="0" locked="0" layoutInCell="1" allowOverlap="1">
                <wp:simplePos x="0" y="0"/>
                <wp:positionH relativeFrom="column">
                  <wp:posOffset>1055370</wp:posOffset>
                </wp:positionH>
                <wp:positionV relativeFrom="paragraph">
                  <wp:posOffset>214630</wp:posOffset>
                </wp:positionV>
                <wp:extent cx="811530" cy="563880"/>
                <wp:effectExtent l="4445" t="4445" r="22225" b="22225"/>
                <wp:wrapNone/>
                <wp:docPr id="39" name="AutoShape 23"/>
                <wp:cNvGraphicFramePr/>
                <a:graphic xmlns:a="http://schemas.openxmlformats.org/drawingml/2006/main">
                  <a:graphicData uri="http://schemas.microsoft.com/office/word/2010/wordprocessingShape">
                    <wps:wsp>
                      <wps:cNvSpPr/>
                      <wps:spPr>
                        <a:xfrm>
                          <a:off x="0" y="0"/>
                          <a:ext cx="811530" cy="563880"/>
                        </a:xfrm>
                        <a:prstGeom prst="roundRect">
                          <a:avLst>
                            <a:gd name="adj" fmla="val 16667"/>
                          </a:avLst>
                        </a:prstGeom>
                        <a:solidFill>
                          <a:srgbClr val="FBD4B4"/>
                        </a:solidFill>
                        <a:ln w="9525" cap="flat" cmpd="sng">
                          <a:solidFill>
                            <a:srgbClr val="000000"/>
                          </a:solidFill>
                          <a:prstDash val="solid"/>
                          <a:headEnd type="none" w="med" len="med"/>
                          <a:tailEnd type="none" w="med" len="med"/>
                        </a:ln>
                        <a:effectLst/>
                      </wps:spPr>
                      <wps:txbx>
                        <w:txbxContent>
                          <w:p>
                            <w:pPr>
                              <w:spacing w:after="0" w:line="240" w:lineRule="auto"/>
                              <w:jc w:val="center"/>
                              <w:outlineLvl w:val="0"/>
                              <w:rPr>
                                <w:sz w:val="14"/>
                                <w:szCs w:val="14"/>
                                <w:lang w:val="id-ID"/>
                              </w:rPr>
                            </w:pPr>
                            <w:r>
                              <w:rPr>
                                <w:sz w:val="14"/>
                                <w:szCs w:val="14"/>
                              </w:rPr>
                              <w:t xml:space="preserve">Bidang </w:t>
                            </w:r>
                            <w:r>
                              <w:rPr>
                                <w:sz w:val="14"/>
                                <w:szCs w:val="14"/>
                                <w:lang w:val="id-ID"/>
                              </w:rPr>
                              <w:t>Retribusi</w:t>
                            </w:r>
                            <w:r>
                              <w:rPr>
                                <w:sz w:val="14"/>
                                <w:szCs w:val="14"/>
                              </w:rPr>
                              <w:t>,</w:t>
                            </w:r>
                            <w:r>
                              <w:rPr>
                                <w:sz w:val="14"/>
                                <w:szCs w:val="14"/>
                                <w:lang w:val="id-ID"/>
                              </w:rPr>
                              <w:t xml:space="preserve"> Dana Perimbangan dan PLL</w:t>
                            </w:r>
                          </w:p>
                        </w:txbxContent>
                      </wps:txbx>
                      <wps:bodyPr upright="1"/>
                    </wps:wsp>
                  </a:graphicData>
                </a:graphic>
              </wp:anchor>
            </w:drawing>
          </mc:Choice>
          <mc:Fallback>
            <w:pict>
              <v:roundrect id="AutoShape 23" o:spid="_x0000_s1026" o:spt="2" style="position:absolute;left:0pt;margin-left:83.1pt;margin-top:16.9pt;height:44.4pt;width:63.9pt;z-index:251682816;mso-width-relative:page;mso-height-relative:page;" fillcolor="#FBD4B4" filled="t" stroked="t" coordsize="21600,21600" arcsize="0.166666666666667" o:gfxdata="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El3znZAAAACgEA&#10;AA8AAAAAAAAAAQAgAAAAIgAAAGRycy9kb3ducmV2LnhtbFBLAQIUABQAAAAIAIdO4kAEr6ZOGQIA&#10;AGIEAAAOAAAAAAAAAAEAIAAAACgBAABkcnMvZTJvRG9jLnhtbFBLBQYAAAAABgAGAFkBAACzBQAA&#10;AAA=&#10;">
                <v:fill on="t" focussize="0,0"/>
                <v:stroke color="#000000" joinstyle="round"/>
                <v:imagedata o:title=""/>
                <o:lock v:ext="edit" aspectratio="f"/>
                <v:textbox>
                  <w:txbxContent>
                    <w:p>
                      <w:pPr>
                        <w:spacing w:after="0" w:line="240" w:lineRule="auto"/>
                        <w:jc w:val="center"/>
                        <w:outlineLvl w:val="0"/>
                        <w:rPr>
                          <w:sz w:val="14"/>
                          <w:szCs w:val="14"/>
                          <w:lang w:val="id-ID"/>
                        </w:rPr>
                      </w:pPr>
                      <w:r>
                        <w:rPr>
                          <w:sz w:val="14"/>
                          <w:szCs w:val="14"/>
                        </w:rPr>
                        <w:t xml:space="preserve">Bidang </w:t>
                      </w:r>
                      <w:r>
                        <w:rPr>
                          <w:sz w:val="14"/>
                          <w:szCs w:val="14"/>
                          <w:lang w:val="id-ID"/>
                        </w:rPr>
                        <w:t>Retribusi</w:t>
                      </w:r>
                      <w:r>
                        <w:rPr>
                          <w:sz w:val="14"/>
                          <w:szCs w:val="14"/>
                        </w:rPr>
                        <w:t>,</w:t>
                      </w:r>
                      <w:r>
                        <w:rPr>
                          <w:sz w:val="14"/>
                          <w:szCs w:val="14"/>
                          <w:lang w:val="id-ID"/>
                        </w:rPr>
                        <w:t xml:space="preserve"> Dana Perimbangan dan PLL</w:t>
                      </w:r>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83840" behindDoc="0" locked="0" layoutInCell="1" allowOverlap="1">
                <wp:simplePos x="0" y="0"/>
                <wp:positionH relativeFrom="column">
                  <wp:posOffset>2099945</wp:posOffset>
                </wp:positionH>
                <wp:positionV relativeFrom="paragraph">
                  <wp:posOffset>214630</wp:posOffset>
                </wp:positionV>
                <wp:extent cx="819150" cy="405765"/>
                <wp:effectExtent l="4445" t="4445" r="14605" b="8890"/>
                <wp:wrapNone/>
                <wp:docPr id="40" name="AutoShape 24"/>
                <wp:cNvGraphicFramePr/>
                <a:graphic xmlns:a="http://schemas.openxmlformats.org/drawingml/2006/main">
                  <a:graphicData uri="http://schemas.microsoft.com/office/word/2010/wordprocessingShape">
                    <wps:wsp>
                      <wps:cNvSpPr/>
                      <wps:spPr>
                        <a:xfrm>
                          <a:off x="0" y="0"/>
                          <a:ext cx="819150" cy="405765"/>
                        </a:xfrm>
                        <a:prstGeom prst="roundRect">
                          <a:avLst>
                            <a:gd name="adj" fmla="val 16667"/>
                          </a:avLst>
                        </a:prstGeom>
                        <a:solidFill>
                          <a:srgbClr val="FBD4B4"/>
                        </a:solidFill>
                        <a:ln w="9525" cap="flat" cmpd="sng">
                          <a:solidFill>
                            <a:srgbClr val="000000"/>
                          </a:solidFill>
                          <a:prstDash val="solid"/>
                          <a:headEnd type="none" w="med" len="med"/>
                          <a:tailEnd type="none" w="med" len="med"/>
                        </a:ln>
                        <a:effectLst/>
                      </wps:spPr>
                      <wps:txbx>
                        <w:txbxContent>
                          <w:p>
                            <w:pPr>
                              <w:spacing w:after="0" w:line="240" w:lineRule="auto"/>
                              <w:jc w:val="center"/>
                            </w:pPr>
                            <w:r>
                              <w:rPr>
                                <w:sz w:val="14"/>
                                <w:szCs w:val="14"/>
                              </w:rPr>
                              <w:t>Bidang Anggaran</w:t>
                            </w:r>
                          </w:p>
                        </w:txbxContent>
                      </wps:txbx>
                      <wps:bodyPr upright="1"/>
                    </wps:wsp>
                  </a:graphicData>
                </a:graphic>
              </wp:anchor>
            </w:drawing>
          </mc:Choice>
          <mc:Fallback>
            <w:pict>
              <v:roundrect id="AutoShape 24" o:spid="_x0000_s1026" o:spt="2" style="position:absolute;left:0pt;margin-left:165.35pt;margin-top:16.9pt;height:31.95pt;width:64.5pt;z-index:251683840;mso-width-relative:page;mso-height-relative:page;" fillcolor="#FBD4B4" filled="t" stroked="t" coordsize="21600,21600" arcsize="0.166666666666667" o:gfxdata="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pU31toAAAAJ&#10;AQAADwAAAAAAAAABACAAAAAiAAAAZHJzL2Rvd25yZXYueG1sUEsBAhQAFAAAAAgAh07iQG0Ma3Ea&#10;AgAAYgQAAA4AAAAAAAAAAQAgAAAAKQEAAGRycy9lMm9Eb2MueG1sUEsFBgAAAAAGAAYAWQEAALUF&#10;AAAAAA==&#10;">
                <v:fill on="t" focussize="0,0"/>
                <v:stroke color="#000000" joinstyle="round"/>
                <v:imagedata o:title=""/>
                <o:lock v:ext="edit" aspectratio="f"/>
                <v:textbox>
                  <w:txbxContent>
                    <w:p>
                      <w:pPr>
                        <w:spacing w:after="0" w:line="240" w:lineRule="auto"/>
                        <w:jc w:val="center"/>
                      </w:pPr>
                      <w:r>
                        <w:rPr>
                          <w:sz w:val="14"/>
                          <w:szCs w:val="14"/>
                        </w:rPr>
                        <w:t>Bidang Anggaran</w:t>
                      </w:r>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73600" behindDoc="0" locked="0" layoutInCell="1" allowOverlap="1">
                <wp:simplePos x="0" y="0"/>
                <wp:positionH relativeFrom="column">
                  <wp:posOffset>5282565</wp:posOffset>
                </wp:positionH>
                <wp:positionV relativeFrom="paragraph">
                  <wp:posOffset>214630</wp:posOffset>
                </wp:positionV>
                <wp:extent cx="845820" cy="405765"/>
                <wp:effectExtent l="4445" t="4445" r="6985" b="8890"/>
                <wp:wrapNone/>
                <wp:docPr id="30" name="AutoShape 14"/>
                <wp:cNvGraphicFramePr/>
                <a:graphic xmlns:a="http://schemas.openxmlformats.org/drawingml/2006/main">
                  <a:graphicData uri="http://schemas.microsoft.com/office/word/2010/wordprocessingShape">
                    <wps:wsp>
                      <wps:cNvSpPr/>
                      <wps:spPr>
                        <a:xfrm>
                          <a:off x="0" y="0"/>
                          <a:ext cx="845820" cy="405765"/>
                        </a:xfrm>
                        <a:prstGeom prst="roundRect">
                          <a:avLst>
                            <a:gd name="adj" fmla="val 16667"/>
                          </a:avLst>
                        </a:prstGeom>
                        <a:solidFill>
                          <a:srgbClr val="FBD4B4"/>
                        </a:solidFill>
                        <a:ln w="9525" cap="flat" cmpd="sng">
                          <a:solidFill>
                            <a:srgbClr val="000000"/>
                          </a:solidFill>
                          <a:prstDash val="solid"/>
                          <a:headEnd type="none" w="med" len="med"/>
                          <a:tailEnd type="none" w="med" len="med"/>
                        </a:ln>
                        <a:effectLst/>
                      </wps:spPr>
                      <wps:txbx>
                        <w:txbxContent>
                          <w:p>
                            <w:pPr>
                              <w:spacing w:after="0" w:line="240" w:lineRule="auto"/>
                              <w:jc w:val="center"/>
                              <w:rPr>
                                <w:sz w:val="14"/>
                                <w:szCs w:val="14"/>
                                <w:lang w:val="id-ID"/>
                              </w:rPr>
                            </w:pPr>
                            <w:r>
                              <w:rPr>
                                <w:sz w:val="14"/>
                                <w:szCs w:val="14"/>
                              </w:rPr>
                              <w:t>Bidang Per</w:t>
                            </w:r>
                            <w:r>
                              <w:rPr>
                                <w:sz w:val="14"/>
                                <w:szCs w:val="14"/>
                                <w:lang w:val="id-ID"/>
                              </w:rPr>
                              <w:t>bendaharaan</w:t>
                            </w:r>
                          </w:p>
                          <w:p/>
                        </w:txbxContent>
                      </wps:txbx>
                      <wps:bodyPr upright="1"/>
                    </wps:wsp>
                  </a:graphicData>
                </a:graphic>
              </wp:anchor>
            </w:drawing>
          </mc:Choice>
          <mc:Fallback>
            <w:pict>
              <v:roundrect id="AutoShape 14" o:spid="_x0000_s1026" o:spt="2" style="position:absolute;left:0pt;margin-left:415.95pt;margin-top:16.9pt;height:31.95pt;width:66.6pt;z-index:251673600;mso-width-relative:page;mso-height-relative:page;" fillcolor="#FBD4B4" filled="t" stroked="t" coordsize="21600,21600" arcsize="0.166666666666667" o:gfxdata="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j4fKLbAAAA&#10;CQEAAA8AAAAAAAAAAQAgAAAAIgAAAGRycy9kb3ducmV2LnhtbFBLAQIUABQAAAAIAIdO4kAisCXG&#10;GgIAAGIEAAAOAAAAAAAAAAEAIAAAACoBAABkcnMvZTJvRG9jLnhtbFBLBQYAAAAABgAGAFkBAAC2&#10;BQAAAAA=&#10;">
                <v:fill on="t" focussize="0,0"/>
                <v:stroke color="#000000" joinstyle="round"/>
                <v:imagedata o:title=""/>
                <o:lock v:ext="edit" aspectratio="f"/>
                <v:textbox>
                  <w:txbxContent>
                    <w:p>
                      <w:pPr>
                        <w:spacing w:after="0" w:line="240" w:lineRule="auto"/>
                        <w:jc w:val="center"/>
                        <w:rPr>
                          <w:sz w:val="14"/>
                          <w:szCs w:val="14"/>
                          <w:lang w:val="id-ID"/>
                        </w:rPr>
                      </w:pPr>
                      <w:r>
                        <w:rPr>
                          <w:sz w:val="14"/>
                          <w:szCs w:val="14"/>
                        </w:rPr>
                        <w:t>Bidang Per</w:t>
                      </w:r>
                      <w:r>
                        <w:rPr>
                          <w:sz w:val="14"/>
                          <w:szCs w:val="14"/>
                          <w:lang w:val="id-ID"/>
                        </w:rPr>
                        <w:t>bendaharaan</w:t>
                      </w:r>
                    </w:p>
                    <w:p/>
                  </w:txbxContent>
                </v:textbox>
              </v:roundrect>
            </w:pict>
          </mc:Fallback>
        </mc:AlternateContent>
      </w:r>
      <w:r>
        <w:rPr>
          <w:rFonts w:ascii="Batang" w:hAnsi="Batang" w:eastAsia="Batang" w:cs="MS Reference Sans Serif"/>
          <w:b/>
          <w:bCs/>
          <w:sz w:val="14"/>
          <w:szCs w:val="14"/>
          <w:lang w:val="id-ID" w:eastAsia="id-ID"/>
        </w:rPr>
        <mc:AlternateContent>
          <mc:Choice Requires="wps">
            <w:drawing>
              <wp:anchor distT="0" distB="0" distL="114300" distR="114300" simplePos="0" relativeHeight="251672576" behindDoc="0" locked="0" layoutInCell="1" allowOverlap="1">
                <wp:simplePos x="0" y="0"/>
                <wp:positionH relativeFrom="column">
                  <wp:posOffset>4296410</wp:posOffset>
                </wp:positionH>
                <wp:positionV relativeFrom="paragraph">
                  <wp:posOffset>214630</wp:posOffset>
                </wp:positionV>
                <wp:extent cx="869315" cy="475615"/>
                <wp:effectExtent l="4445" t="4445" r="21590" b="15240"/>
                <wp:wrapNone/>
                <wp:docPr id="29" name="AutoShape 13"/>
                <wp:cNvGraphicFramePr/>
                <a:graphic xmlns:a="http://schemas.openxmlformats.org/drawingml/2006/main">
                  <a:graphicData uri="http://schemas.microsoft.com/office/word/2010/wordprocessingShape">
                    <wps:wsp>
                      <wps:cNvSpPr/>
                      <wps:spPr>
                        <a:xfrm>
                          <a:off x="0" y="0"/>
                          <a:ext cx="869315" cy="475615"/>
                        </a:xfrm>
                        <a:prstGeom prst="roundRect">
                          <a:avLst>
                            <a:gd name="adj" fmla="val 16667"/>
                          </a:avLst>
                        </a:prstGeom>
                        <a:solidFill>
                          <a:srgbClr val="FBD4B4"/>
                        </a:solidFill>
                        <a:ln w="9525" cap="flat" cmpd="sng">
                          <a:solidFill>
                            <a:srgbClr val="000000"/>
                          </a:solidFill>
                          <a:prstDash val="solid"/>
                          <a:headEnd type="none" w="med" len="med"/>
                          <a:tailEnd type="none" w="med" len="med"/>
                        </a:ln>
                        <a:effectLst/>
                      </wps:spPr>
                      <wps:txbx>
                        <w:txbxContent>
                          <w:p>
                            <w:pPr>
                              <w:spacing w:after="0" w:line="240" w:lineRule="auto"/>
                              <w:jc w:val="center"/>
                              <w:rPr>
                                <w:sz w:val="14"/>
                                <w:szCs w:val="14"/>
                              </w:rPr>
                            </w:pPr>
                            <w:r>
                              <w:rPr>
                                <w:sz w:val="14"/>
                                <w:szCs w:val="14"/>
                              </w:rPr>
                              <w:t>Bidang Bina Administrasi Keuangan Daerah</w:t>
                            </w:r>
                          </w:p>
                        </w:txbxContent>
                      </wps:txbx>
                      <wps:bodyPr upright="1"/>
                    </wps:wsp>
                  </a:graphicData>
                </a:graphic>
              </wp:anchor>
            </w:drawing>
          </mc:Choice>
          <mc:Fallback>
            <w:pict>
              <v:roundrect id="AutoShape 13" o:spid="_x0000_s1026" o:spt="2" style="position:absolute;left:0pt;margin-left:338.3pt;margin-top:16.9pt;height:37.45pt;width:68.45pt;z-index:251672576;mso-width-relative:page;mso-height-relative:page;" fillcolor="#FBD4B4" filled="t" stroked="t" coordsize="21600,21600" arcsize="0.166666666666667" o:gfxdata="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q8nA2wAAAAoB&#10;AAAPAAAAAAAAAAEAIAAAACIAAABkcnMvZG93bnJldi54bWxQSwECFAAUAAAACACHTuJA+C4GZBgC&#10;AABiBAAADgAAAAAAAAABACAAAAAqAQAAZHJzL2Uyb0RvYy54bWxQSwUGAAAAAAYABgBZAQAAtAUA&#10;AAAA&#10;">
                <v:fill on="t" focussize="0,0"/>
                <v:stroke color="#000000" joinstyle="round"/>
                <v:imagedata o:title=""/>
                <o:lock v:ext="edit" aspectratio="f"/>
                <v:textbox>
                  <w:txbxContent>
                    <w:p>
                      <w:pPr>
                        <w:spacing w:after="0" w:line="240" w:lineRule="auto"/>
                        <w:jc w:val="center"/>
                        <w:rPr>
                          <w:sz w:val="14"/>
                          <w:szCs w:val="14"/>
                        </w:rPr>
                      </w:pPr>
                      <w:r>
                        <w:rPr>
                          <w:sz w:val="14"/>
                          <w:szCs w:val="14"/>
                        </w:rPr>
                        <w:t>Bidang Bina Administrasi Keuangan Daerah</w:t>
                      </w:r>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71552" behindDoc="0" locked="0" layoutInCell="1" allowOverlap="1">
                <wp:simplePos x="0" y="0"/>
                <wp:positionH relativeFrom="column">
                  <wp:posOffset>3248660</wp:posOffset>
                </wp:positionH>
                <wp:positionV relativeFrom="paragraph">
                  <wp:posOffset>214630</wp:posOffset>
                </wp:positionV>
                <wp:extent cx="913130" cy="405765"/>
                <wp:effectExtent l="4445" t="4445" r="15875" b="8890"/>
                <wp:wrapNone/>
                <wp:docPr id="28" name="AutoShape 12"/>
                <wp:cNvGraphicFramePr/>
                <a:graphic xmlns:a="http://schemas.openxmlformats.org/drawingml/2006/main">
                  <a:graphicData uri="http://schemas.microsoft.com/office/word/2010/wordprocessingShape">
                    <wps:wsp>
                      <wps:cNvSpPr/>
                      <wps:spPr>
                        <a:xfrm>
                          <a:off x="0" y="0"/>
                          <a:ext cx="913130" cy="405765"/>
                        </a:xfrm>
                        <a:prstGeom prst="roundRect">
                          <a:avLst>
                            <a:gd name="adj" fmla="val 16667"/>
                          </a:avLst>
                        </a:prstGeom>
                        <a:solidFill>
                          <a:srgbClr val="FBD4B4"/>
                        </a:solidFill>
                        <a:ln w="9525" cap="flat" cmpd="sng">
                          <a:solidFill>
                            <a:srgbClr val="000000"/>
                          </a:solidFill>
                          <a:prstDash val="solid"/>
                          <a:headEnd type="none" w="med" len="med"/>
                          <a:tailEnd type="none" w="med" len="med"/>
                        </a:ln>
                        <a:effectLst/>
                      </wps:spPr>
                      <wps:txbx>
                        <w:txbxContent>
                          <w:p>
                            <w:pPr>
                              <w:spacing w:after="0" w:line="240" w:lineRule="auto"/>
                              <w:ind w:left="10" w:hanging="9" w:hangingChars="7"/>
                              <w:jc w:val="center"/>
                              <w:rPr>
                                <w:sz w:val="14"/>
                                <w:szCs w:val="14"/>
                                <w:lang w:val="id-ID"/>
                              </w:rPr>
                            </w:pPr>
                            <w:r>
                              <w:rPr>
                                <w:sz w:val="14"/>
                                <w:szCs w:val="14"/>
                              </w:rPr>
                              <w:t xml:space="preserve">Bidang </w:t>
                            </w:r>
                            <w:r>
                              <w:rPr>
                                <w:sz w:val="14"/>
                                <w:szCs w:val="14"/>
                                <w:lang w:val="id-ID"/>
                              </w:rPr>
                              <w:t>Akuntansi      danPelaporan</w:t>
                            </w:r>
                          </w:p>
                        </w:txbxContent>
                      </wps:txbx>
                      <wps:bodyPr upright="1"/>
                    </wps:wsp>
                  </a:graphicData>
                </a:graphic>
              </wp:anchor>
            </w:drawing>
          </mc:Choice>
          <mc:Fallback>
            <w:pict>
              <v:roundrect id="AutoShape 12" o:spid="_x0000_s1026" o:spt="2" style="position:absolute;left:0pt;margin-left:255.8pt;margin-top:16.9pt;height:31.95pt;width:71.9pt;z-index:251671552;mso-width-relative:page;mso-height-relative:page;" fillcolor="#FBD4B4" filled="t" stroked="t" coordsize="21600,21600" arcsize="0.166666666666667" o:gfxdata="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p4UMzbAAAACQEA&#10;AA8AAAAAAAAAAQAgAAAAIgAAAGRycy9kb3ducmV2LnhtbFBLAQIUABQAAAAIAIdO4kA0d8ZEFwIA&#10;AGIEAAAOAAAAAAAAAAEAIAAAACoBAABkcnMvZTJvRG9jLnhtbFBLBQYAAAAABgAGAFkBAACzBQAA&#10;AAA=&#10;">
                <v:fill on="t" focussize="0,0"/>
                <v:stroke color="#000000" joinstyle="round"/>
                <v:imagedata o:title=""/>
                <o:lock v:ext="edit" aspectratio="f"/>
                <v:textbox>
                  <w:txbxContent>
                    <w:p>
                      <w:pPr>
                        <w:spacing w:after="0" w:line="240" w:lineRule="auto"/>
                        <w:ind w:left="10" w:hanging="9" w:hangingChars="7"/>
                        <w:jc w:val="center"/>
                        <w:rPr>
                          <w:sz w:val="14"/>
                          <w:szCs w:val="14"/>
                          <w:lang w:val="id-ID"/>
                        </w:rPr>
                      </w:pPr>
                      <w:r>
                        <w:rPr>
                          <w:sz w:val="14"/>
                          <w:szCs w:val="14"/>
                        </w:rPr>
                        <w:t xml:space="preserve">Bidang </w:t>
                      </w:r>
                      <w:r>
                        <w:rPr>
                          <w:sz w:val="14"/>
                          <w:szCs w:val="14"/>
                          <w:lang w:val="id-ID"/>
                        </w:rPr>
                        <w:t>Akuntansi      danPelaporan</w:t>
                      </w:r>
                    </w:p>
                  </w:txbxContent>
                </v:textbox>
              </v:roundrect>
            </w:pict>
          </mc:Fallback>
        </mc:AlternateContent>
      </w:r>
    </w:p>
    <w:p>
      <w:pPr>
        <w:rPr>
          <w:rFonts w:ascii="Batang" w:hAnsi="Batang" w:eastAsia="Batang" w:cs="MS Reference Sans Serif"/>
          <w:lang w:val="id-ID"/>
        </w:rPr>
      </w:pPr>
      <w:r>
        <w:rPr>
          <w:rFonts w:ascii="Batang" w:hAnsi="Batang" w:eastAsia="Batang" w:cs="MS Reference Sans Serif"/>
          <w:b/>
          <w:bCs/>
          <w:lang w:val="id-ID" w:eastAsia="id-ID"/>
        </w:rPr>
        <mc:AlternateContent>
          <mc:Choice Requires="wps">
            <w:drawing>
              <wp:anchor distT="0" distB="0" distL="114300" distR="114300" simplePos="0" relativeHeight="251713536" behindDoc="0" locked="0" layoutInCell="1" allowOverlap="1">
                <wp:simplePos x="0" y="0"/>
                <wp:positionH relativeFrom="column">
                  <wp:posOffset>-97790</wp:posOffset>
                </wp:positionH>
                <wp:positionV relativeFrom="paragraph">
                  <wp:posOffset>44450</wp:posOffset>
                </wp:positionV>
                <wp:extent cx="78105" cy="0"/>
                <wp:effectExtent l="0" t="0" r="0" b="0"/>
                <wp:wrapNone/>
                <wp:docPr id="70" name="AutoShape 55"/>
                <wp:cNvGraphicFramePr/>
                <a:graphic xmlns:a="http://schemas.openxmlformats.org/drawingml/2006/main">
                  <a:graphicData uri="http://schemas.microsoft.com/office/word/2010/wordprocessingShape">
                    <wps:wsp>
                      <wps:cNvCnPr/>
                      <wps:spPr>
                        <a:xfrm>
                          <a:off x="0" y="0"/>
                          <a:ext cx="7810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55" o:spid="_x0000_s1026" o:spt="32" type="#_x0000_t32" style="position:absolute;left:0pt;margin-left:-7.7pt;margin-top:3.5pt;height:0pt;width:6.15pt;z-index:251713536;mso-width-relative:page;mso-height-relative:page;" filled="f" stroked="t" coordsize="21600,21600" o:gfxdata="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vWtEX1AAAAAYBAAAP&#10;AAAAAAAAAAEAIAAAACIAAABkcnMvZG93bnJldi54bWxQSwECFAAUAAAACACHTuJAsBU4aOMBAADu&#10;AwAADgAAAAAAAAABACAAAAAjAQAAZHJzL2Uyb0RvYy54bWxQSwUGAAAAAAYABgBZAQAAeAU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25824" behindDoc="0" locked="0" layoutInCell="1" allowOverlap="1">
                <wp:simplePos x="0" y="0"/>
                <wp:positionH relativeFrom="column">
                  <wp:posOffset>4224655</wp:posOffset>
                </wp:positionH>
                <wp:positionV relativeFrom="paragraph">
                  <wp:posOffset>1270</wp:posOffset>
                </wp:positionV>
                <wp:extent cx="46355" cy="0"/>
                <wp:effectExtent l="0" t="0" r="0" b="0"/>
                <wp:wrapNone/>
                <wp:docPr id="82" name="AutoShape 71"/>
                <wp:cNvGraphicFramePr/>
                <a:graphic xmlns:a="http://schemas.openxmlformats.org/drawingml/2006/main">
                  <a:graphicData uri="http://schemas.microsoft.com/office/word/2010/wordprocessingShape">
                    <wps:wsp>
                      <wps:cNvCnPr/>
                      <wps:spPr>
                        <a:xfrm>
                          <a:off x="0" y="0"/>
                          <a:ext cx="4635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71" o:spid="_x0000_s1026" o:spt="32" type="#_x0000_t32" style="position:absolute;left:0pt;margin-left:332.65pt;margin-top:0.1pt;height:0pt;width:3.65pt;z-index:251725824;mso-width-relative:page;mso-height-relative:page;" filled="f" stroked="t" coordsize="21600,21600" o:gfxdata="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Q4xR0wAAAAUBAAAP&#10;AAAAAAAAAAEAIAAAACIAAABkcnMvZG93bnJldi54bWxQSwECFAAUAAAACACHTuJA6Hv0dOQBAADu&#10;AwAADgAAAAAAAAABACAAAAAiAQAAZHJzL2Uyb0RvYy54bWxQSwUGAAAAAAYABgBZAQAAeAU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01248" behindDoc="0" locked="0" layoutInCell="1" allowOverlap="1">
                <wp:simplePos x="0" y="0"/>
                <wp:positionH relativeFrom="column">
                  <wp:posOffset>4222115</wp:posOffset>
                </wp:positionH>
                <wp:positionV relativeFrom="paragraph">
                  <wp:posOffset>1270</wp:posOffset>
                </wp:positionV>
                <wp:extent cx="3175" cy="1877695"/>
                <wp:effectExtent l="4445" t="0" r="11430" b="8255"/>
                <wp:wrapNone/>
                <wp:docPr id="58" name="AutoShape 42"/>
                <wp:cNvGraphicFramePr/>
                <a:graphic xmlns:a="http://schemas.openxmlformats.org/drawingml/2006/main">
                  <a:graphicData uri="http://schemas.microsoft.com/office/word/2010/wordprocessingShape">
                    <wps:wsp>
                      <wps:cNvCnPr/>
                      <wps:spPr>
                        <a:xfrm>
                          <a:off x="0" y="0"/>
                          <a:ext cx="3175" cy="187769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42" o:spid="_x0000_s1026" o:spt="32" type="#_x0000_t32" style="position:absolute;left:0pt;margin-left:332.45pt;margin-top:0.1pt;height:147.85pt;width:0.25pt;z-index:251701248;mso-width-relative:page;mso-height-relative:page;" filled="f" stroked="t" coordsize="21600,21600" o:gfxdata="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Wa6s9cA&#10;AAAIAQAADwAAAAAAAAABACAAAAAiAAAAZHJzL2Rvd25yZXYueG1sUEsBAhQAFAAAAAgAh07iQLw1&#10;ZAnnAQAA8wMAAA4AAAAAAAAAAQAgAAAAJgEAAGRycy9lMm9Eb2MueG1sUEsFBgAAAAAGAAYAWQEA&#10;AH8FA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00224" behindDoc="0" locked="0" layoutInCell="1" allowOverlap="1">
                <wp:simplePos x="0" y="0"/>
                <wp:positionH relativeFrom="column">
                  <wp:posOffset>3160395</wp:posOffset>
                </wp:positionH>
                <wp:positionV relativeFrom="paragraph">
                  <wp:posOffset>7620</wp:posOffset>
                </wp:positionV>
                <wp:extent cx="1270" cy="1903730"/>
                <wp:effectExtent l="4445" t="0" r="13335" b="1270"/>
                <wp:wrapNone/>
                <wp:docPr id="57" name="AutoShape 41"/>
                <wp:cNvGraphicFramePr/>
                <a:graphic xmlns:a="http://schemas.openxmlformats.org/drawingml/2006/main">
                  <a:graphicData uri="http://schemas.microsoft.com/office/word/2010/wordprocessingShape">
                    <wps:wsp>
                      <wps:cNvCnPr/>
                      <wps:spPr>
                        <a:xfrm flipH="1">
                          <a:off x="0" y="0"/>
                          <a:ext cx="1270" cy="190373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41" o:spid="_x0000_s1026" o:spt="32" type="#_x0000_t32" style="position:absolute;left:0pt;flip:x;margin-left:248.85pt;margin-top:0.6pt;height:149.9pt;width:0.1pt;z-index:251700224;mso-width-relative:page;mso-height-relative:page;" filled="f" stroked="t" coordsize="21600,21600" o:gfxdata="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XaZbbWAAAACQEAAA8AAAAAAAAAAQAgAAAAIgAAAGRycy9kb3ducmV2LnhtbFBLAQIUABQA&#10;AAAIAIdO4kAFmkSf8gEAAP0DAAAOAAAAAAAAAAEAIAAAACUBAABkcnMvZTJvRG9jLnhtbFBLBQYA&#10;AAAABgAGAFkBAACJBQ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23776" behindDoc="0" locked="0" layoutInCell="1" allowOverlap="1">
                <wp:simplePos x="0" y="0"/>
                <wp:positionH relativeFrom="column">
                  <wp:posOffset>3164205</wp:posOffset>
                </wp:positionH>
                <wp:positionV relativeFrom="paragraph">
                  <wp:posOffset>11430</wp:posOffset>
                </wp:positionV>
                <wp:extent cx="66675" cy="0"/>
                <wp:effectExtent l="0" t="0" r="0" b="0"/>
                <wp:wrapNone/>
                <wp:docPr id="80" name="AutoShape 67"/>
                <wp:cNvGraphicFramePr/>
                <a:graphic xmlns:a="http://schemas.openxmlformats.org/drawingml/2006/main">
                  <a:graphicData uri="http://schemas.microsoft.com/office/word/2010/wordprocessingShape">
                    <wps:wsp>
                      <wps:cNvCnPr/>
                      <wps:spPr>
                        <a:xfrm>
                          <a:off x="0" y="0"/>
                          <a:ext cx="6667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67" o:spid="_x0000_s1026" o:spt="32" type="#_x0000_t32" style="position:absolute;left:0pt;margin-left:249.15pt;margin-top:0.9pt;height:0pt;width:5.25pt;z-index:251723776;mso-width-relative:page;mso-height-relative:page;" filled="f" stroked="t" coordsize="21600,21600" o:gfxdata="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drn+9UAAAAHAQAA&#10;DwAAAAAAAAABACAAAAAiAAAAZHJzL2Rvd25yZXYueG1sUEsBAhQAFAAAAAgAh07iQHPt+xzjAQAA&#10;7gMAAA4AAAAAAAAAAQAgAAAAJAEAAGRycy9lMm9Eb2MueG1sUEsFBgAAAAAGAAYAWQEAAHkFAAAA&#10;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99200" behindDoc="0" locked="0" layoutInCell="1" allowOverlap="1">
                <wp:simplePos x="0" y="0"/>
                <wp:positionH relativeFrom="column">
                  <wp:posOffset>1976120</wp:posOffset>
                </wp:positionH>
                <wp:positionV relativeFrom="paragraph">
                  <wp:posOffset>73660</wp:posOffset>
                </wp:positionV>
                <wp:extent cx="5080" cy="1885315"/>
                <wp:effectExtent l="4445" t="0" r="9525" b="635"/>
                <wp:wrapNone/>
                <wp:docPr id="55" name="AutoShape 40"/>
                <wp:cNvGraphicFramePr/>
                <a:graphic xmlns:a="http://schemas.openxmlformats.org/drawingml/2006/main">
                  <a:graphicData uri="http://schemas.microsoft.com/office/word/2010/wordprocessingShape">
                    <wps:wsp>
                      <wps:cNvCnPr/>
                      <wps:spPr>
                        <a:xfrm flipH="1">
                          <a:off x="0" y="0"/>
                          <a:ext cx="5080" cy="18853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40" o:spid="_x0000_s1026" o:spt="32" type="#_x0000_t32" style="position:absolute;left:0pt;flip:x;margin-left:155.6pt;margin-top:5.8pt;height:148.45pt;width:0.4pt;z-index:251699200;mso-width-relative:page;mso-height-relative:page;" filled="f" stroked="t" coordsize="21600,21600" o:gfxdata="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Rr76NcAAAAKAQAADwAAAAAAAAABACAAAAAiAAAAZHJzL2Rvd25yZXYueG1sUEsBAhQAFAAAAAgA&#10;h07iQJ2y12PtAQAA/QMAAA4AAAAAAAAAAQAgAAAAJgEAAGRycy9lMm9Eb2MueG1sUEsFBgAAAAAG&#10;AAYAWQEAAIUFA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61312" behindDoc="0" locked="0" layoutInCell="1" allowOverlap="1">
                <wp:simplePos x="0" y="0"/>
                <wp:positionH relativeFrom="column">
                  <wp:posOffset>24130</wp:posOffset>
                </wp:positionH>
                <wp:positionV relativeFrom="paragraph">
                  <wp:posOffset>368300</wp:posOffset>
                </wp:positionV>
                <wp:extent cx="843915" cy="562610"/>
                <wp:effectExtent l="4445" t="4445" r="8890" b="23495"/>
                <wp:wrapNone/>
                <wp:docPr id="17" name="AutoShape 2"/>
                <wp:cNvGraphicFramePr/>
                <a:graphic xmlns:a="http://schemas.openxmlformats.org/drawingml/2006/main">
                  <a:graphicData uri="http://schemas.microsoft.com/office/word/2010/wordprocessingShape">
                    <wps:wsp>
                      <wps:cNvSpPr/>
                      <wps:spPr>
                        <a:xfrm>
                          <a:off x="0" y="0"/>
                          <a:ext cx="843915" cy="562610"/>
                        </a:xfrm>
                        <a:prstGeom prst="roundRect">
                          <a:avLst>
                            <a:gd name="adj" fmla="val 16667"/>
                          </a:avLst>
                        </a:prstGeom>
                        <a:solidFill>
                          <a:srgbClr val="D6E3BC"/>
                        </a:solidFill>
                        <a:ln w="9525" cap="flat" cmpd="sng">
                          <a:solidFill>
                            <a:srgbClr val="000000"/>
                          </a:solidFill>
                          <a:prstDash val="solid"/>
                          <a:headEnd type="none" w="med" len="med"/>
                          <a:tailEnd type="none" w="med" len="med"/>
                        </a:ln>
                        <a:effectLst/>
                      </wps:spPr>
                      <wps:txbx>
                        <w:txbxContent>
                          <w:p>
                            <w:pPr>
                              <w:spacing w:after="0" w:line="240" w:lineRule="auto"/>
                              <w:jc w:val="center"/>
                            </w:pPr>
                            <w:r>
                              <w:rPr>
                                <w:sz w:val="14"/>
                                <w:szCs w:val="14"/>
                              </w:rPr>
                              <w:t>Subbid Perencanaan dan Intensifikasi Pajak</w:t>
                            </w:r>
                          </w:p>
                        </w:txbxContent>
                      </wps:txbx>
                      <wps:bodyPr upright="1"/>
                    </wps:wsp>
                  </a:graphicData>
                </a:graphic>
              </wp:anchor>
            </w:drawing>
          </mc:Choice>
          <mc:Fallback>
            <w:pict>
              <v:roundrect id="AutoShape 2" o:spid="_x0000_s1026" o:spt="2" style="position:absolute;left:0pt;margin-left:1.9pt;margin-top:29pt;height:44.3pt;width:66.45pt;z-index:251661312;mso-width-relative:page;mso-height-relative:page;" fillcolor="#D6E3BC" filled="t" stroked="t" coordsize="21600,21600" arcsize="0.166666666666667" o:gfxdata="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InUN7XAAAACAEAAA8A&#10;AAAAAAAAAQAgAAAAIgAAAGRycy9kb3ducmV2LnhtbFBLAQIUABQAAAAIAIdO4kDZ4u5/GAIAAGEE&#10;AAAOAAAAAAAAAAEAIAAAACYBAABkcnMvZTJvRG9jLnhtbFBLBQYAAAAABgAGAFkBAACwBQAAAAA=&#10;">
                <v:fill on="t" focussize="0,0"/>
                <v:stroke color="#000000" joinstyle="round"/>
                <v:imagedata o:title=""/>
                <o:lock v:ext="edit" aspectratio="f"/>
                <v:textbox>
                  <w:txbxContent>
                    <w:p>
                      <w:pPr>
                        <w:spacing w:after="0" w:line="240" w:lineRule="auto"/>
                        <w:jc w:val="center"/>
                      </w:pPr>
                      <w:r>
                        <w:rPr>
                          <w:sz w:val="14"/>
                          <w:szCs w:val="14"/>
                        </w:rPr>
                        <w:t>Subbid Perencanaan dan Intensifikasi Pajak</w:t>
                      </w:r>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98176" behindDoc="0" locked="0" layoutInCell="1" allowOverlap="1">
                <wp:simplePos x="0" y="0"/>
                <wp:positionH relativeFrom="column">
                  <wp:posOffset>948055</wp:posOffset>
                </wp:positionH>
                <wp:positionV relativeFrom="paragraph">
                  <wp:posOffset>20320</wp:posOffset>
                </wp:positionV>
                <wp:extent cx="4445" cy="1920240"/>
                <wp:effectExtent l="4445" t="0" r="10160" b="3810"/>
                <wp:wrapNone/>
                <wp:docPr id="54" name="AutoShape 39"/>
                <wp:cNvGraphicFramePr/>
                <a:graphic xmlns:a="http://schemas.openxmlformats.org/drawingml/2006/main">
                  <a:graphicData uri="http://schemas.microsoft.com/office/word/2010/wordprocessingShape">
                    <wps:wsp>
                      <wps:cNvCnPr/>
                      <wps:spPr>
                        <a:xfrm flipH="1">
                          <a:off x="0" y="0"/>
                          <a:ext cx="4445" cy="19202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39" o:spid="_x0000_s1026" o:spt="32" type="#_x0000_t32" style="position:absolute;left:0pt;flip:x;margin-left:74.65pt;margin-top:1.6pt;height:151.2pt;width:0.35pt;z-index:251698176;mso-width-relative:page;mso-height-relative:page;" filled="f" stroked="t" coordsize="21600,21600" o:gfxdata="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HTMlo1QAAAAkBAAAPAAAAAAAAAAEAIAAAACIAAABkcnMvZG93bnJldi54bWxQSwECFAAUAAAA&#10;CACHTuJAZNEigPEBAAD9AwAADgAAAAAAAAABACAAAAAkAQAAZHJzL2Uyb0RvYy54bWxQSwUGAAAA&#10;AAYABgBZAQAAhwU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97152" behindDoc="0" locked="0" layoutInCell="1" allowOverlap="1">
                <wp:simplePos x="0" y="0"/>
                <wp:positionH relativeFrom="column">
                  <wp:posOffset>-101600</wp:posOffset>
                </wp:positionH>
                <wp:positionV relativeFrom="paragraph">
                  <wp:posOffset>43180</wp:posOffset>
                </wp:positionV>
                <wp:extent cx="5080" cy="2028190"/>
                <wp:effectExtent l="4445" t="0" r="9525" b="10160"/>
                <wp:wrapNone/>
                <wp:docPr id="53" name="AutoShape 38"/>
                <wp:cNvGraphicFramePr/>
                <a:graphic xmlns:a="http://schemas.openxmlformats.org/drawingml/2006/main">
                  <a:graphicData uri="http://schemas.microsoft.com/office/word/2010/wordprocessingShape">
                    <wps:wsp>
                      <wps:cNvCnPr/>
                      <wps:spPr>
                        <a:xfrm flipH="1">
                          <a:off x="0" y="0"/>
                          <a:ext cx="5080" cy="202819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38" o:spid="_x0000_s1026" o:spt="32" type="#_x0000_t32" style="position:absolute;left:0pt;flip:x;margin-left:-8pt;margin-top:3.4pt;height:159.7pt;width:0.4pt;z-index:251697152;mso-width-relative:page;mso-height-relative:page;" filled="f" stroked="t" coordsize="21600,21600" o:gfxdata="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rHBjnXAAAACQEAAA8AAAAAAAAAAQAgAAAAIgAAAGRycy9kb3ducmV2LnhtbFBLAQIUABQA&#10;AAAIAIdO4kCWehD+8QEAAP0DAAAOAAAAAAAAAAEAIAAAACYBAABkcnMvZTJvRG9jLnhtbFBLBQYA&#10;AAAABgAGAFkBAACJBQ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16608" behindDoc="0" locked="0" layoutInCell="1" allowOverlap="1">
                <wp:simplePos x="0" y="0"/>
                <wp:positionH relativeFrom="column">
                  <wp:posOffset>955040</wp:posOffset>
                </wp:positionH>
                <wp:positionV relativeFrom="paragraph">
                  <wp:posOffset>25400</wp:posOffset>
                </wp:positionV>
                <wp:extent cx="73025" cy="0"/>
                <wp:effectExtent l="0" t="0" r="0" b="0"/>
                <wp:wrapNone/>
                <wp:docPr id="73" name="AutoShape 59"/>
                <wp:cNvGraphicFramePr/>
                <a:graphic xmlns:a="http://schemas.openxmlformats.org/drawingml/2006/main">
                  <a:graphicData uri="http://schemas.microsoft.com/office/word/2010/wordprocessingShape">
                    <wps:wsp>
                      <wps:cNvCnPr/>
                      <wps:spPr>
                        <a:xfrm>
                          <a:off x="0" y="0"/>
                          <a:ext cx="7302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59" o:spid="_x0000_s1026" o:spt="32" type="#_x0000_t32" style="position:absolute;left:0pt;margin-left:75.2pt;margin-top:2pt;height:0pt;width:5.75pt;z-index:251716608;mso-width-relative:page;mso-height-relative:page;" filled="f" stroked="t" coordsize="21600,21600" o:gfxdata="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6tedB1AAAAAcBAAAP&#10;AAAAAAAAAAEAIAAAACIAAABkcnMvZG93bnJldi54bWxQSwECFAAUAAAACACHTuJATPoSJOMBAADu&#10;AwAADgAAAAAAAAABACAAAAAjAQAAZHJzL2Uyb0RvYy54bWxQSwUGAAAAAAYABgBZAQAAeAU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19680" behindDoc="0" locked="0" layoutInCell="1" allowOverlap="1">
                <wp:simplePos x="0" y="0"/>
                <wp:positionH relativeFrom="column">
                  <wp:posOffset>1983740</wp:posOffset>
                </wp:positionH>
                <wp:positionV relativeFrom="paragraph">
                  <wp:posOffset>78740</wp:posOffset>
                </wp:positionV>
                <wp:extent cx="89535" cy="0"/>
                <wp:effectExtent l="0" t="0" r="0" b="0"/>
                <wp:wrapNone/>
                <wp:docPr id="76" name="AutoShape 63"/>
                <wp:cNvGraphicFramePr/>
                <a:graphic xmlns:a="http://schemas.openxmlformats.org/drawingml/2006/main">
                  <a:graphicData uri="http://schemas.microsoft.com/office/word/2010/wordprocessingShape">
                    <wps:wsp>
                      <wps:cNvCnPr/>
                      <wps:spPr>
                        <a:xfrm>
                          <a:off x="0" y="0"/>
                          <a:ext cx="8953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63" o:spid="_x0000_s1026" o:spt="32" type="#_x0000_t32" style="position:absolute;left:0pt;margin-left:156.2pt;margin-top:6.2pt;height:0pt;width:7.05pt;z-index:251719680;mso-width-relative:page;mso-height-relative:page;" filled="f" stroked="t" coordsize="21600,21600" o:gfxdata="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USbitcAAAAJ&#10;AQAADwAAAAAAAAABACAAAAAiAAAAZHJzL2Rvd25yZXYueG1sUEsBAhQAFAAAAAgAh07iQCtb9sDk&#10;AQAA7gMAAA4AAAAAAAAAAQAgAAAAJgEAAGRycy9lMm9Eb2MueG1sUEsFBgAAAAAGAAYAWQEAAHwF&#10;A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29920" behindDoc="0" locked="0" layoutInCell="1" allowOverlap="1">
                <wp:simplePos x="0" y="0"/>
                <wp:positionH relativeFrom="column">
                  <wp:posOffset>5221605</wp:posOffset>
                </wp:positionH>
                <wp:positionV relativeFrom="paragraph">
                  <wp:posOffset>1270</wp:posOffset>
                </wp:positionV>
                <wp:extent cx="43180" cy="0"/>
                <wp:effectExtent l="0" t="0" r="0" b="0"/>
                <wp:wrapNone/>
                <wp:docPr id="86" name="AutoShape 75"/>
                <wp:cNvGraphicFramePr/>
                <a:graphic xmlns:a="http://schemas.openxmlformats.org/drawingml/2006/main">
                  <a:graphicData uri="http://schemas.microsoft.com/office/word/2010/wordprocessingShape">
                    <wps:wsp>
                      <wps:cNvCnPr/>
                      <wps:spPr>
                        <a:xfrm>
                          <a:off x="0" y="0"/>
                          <a:ext cx="4318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75" o:spid="_x0000_s1026" o:spt="32" type="#_x0000_t32" style="position:absolute;left:0pt;margin-left:411.15pt;margin-top:0.1pt;height:0pt;width:3.4pt;z-index:251729920;mso-width-relative:page;mso-height-relative:page;" filled="f" stroked="t" coordsize="21600,21600" o:gfxdata="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uhOk/0wAAAAUBAAAP&#10;AAAAAAAAAAEAIAAAACIAAABkcnMvZG93bnJldi54bWxQSwECFAAUAAAACACHTuJA2AR2eOQBAADu&#10;AwAADgAAAAAAAAABACAAAAAiAQAAZHJzL2Uyb0RvYy54bWxQSwUGAAAAAAYABgBZAQAAeAUAAAAA&#10;">
                <v:fill on="f" focussize="0,0"/>
                <v:stroke color="#000000" joinstyle="round"/>
                <v:imagedata o:title=""/>
                <o:lock v:ext="edit" aspectratio="f"/>
              </v:shape>
            </w:pict>
          </mc:Fallback>
        </mc:AlternateContent>
      </w:r>
    </w:p>
    <w:p>
      <w:pPr>
        <w:rPr>
          <w:rFonts w:ascii="Batang" w:hAnsi="Batang" w:eastAsia="Batang" w:cs="MS Reference Sans Serif"/>
          <w:lang w:val="id-ID"/>
        </w:rPr>
      </w:pPr>
      <w:r>
        <w:rPr>
          <w:rFonts w:ascii="Batang" w:hAnsi="Batang" w:eastAsia="Batang" w:cs="MS Reference Sans Serif"/>
          <w:b/>
          <w:bCs/>
          <w:lang w:val="id-ID" w:eastAsia="id-ID"/>
        </w:rPr>
        <mc:AlternateContent>
          <mc:Choice Requires="wps">
            <w:drawing>
              <wp:anchor distT="0" distB="0" distL="114300" distR="114300" simplePos="0" relativeHeight="251730944" behindDoc="0" locked="0" layoutInCell="1" allowOverlap="1">
                <wp:simplePos x="0" y="0"/>
                <wp:positionH relativeFrom="column">
                  <wp:posOffset>5230495</wp:posOffset>
                </wp:positionH>
                <wp:positionV relativeFrom="paragraph">
                  <wp:posOffset>377825</wp:posOffset>
                </wp:positionV>
                <wp:extent cx="43180" cy="0"/>
                <wp:effectExtent l="0" t="0" r="0" b="0"/>
                <wp:wrapNone/>
                <wp:docPr id="87" name="AutoShape 76"/>
                <wp:cNvGraphicFramePr/>
                <a:graphic xmlns:a="http://schemas.openxmlformats.org/drawingml/2006/main">
                  <a:graphicData uri="http://schemas.microsoft.com/office/word/2010/wordprocessingShape">
                    <wps:wsp>
                      <wps:cNvCnPr/>
                      <wps:spPr>
                        <a:xfrm>
                          <a:off x="0" y="0"/>
                          <a:ext cx="4318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76" o:spid="_x0000_s1026" o:spt="32" type="#_x0000_t32" style="position:absolute;left:0pt;margin-left:411.85pt;margin-top:29.75pt;height:0pt;width:3.4pt;z-index:251730944;mso-width-relative:page;mso-height-relative:page;" filled="f" stroked="t" coordsize="21600,21600" o:gfxdata="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O4qMNNcAAAAJ&#10;AQAADwAAAAAAAAABACAAAAAiAAAAZHJzL2Rvd25yZXYueG1sUEsBAhQAFAAAAAgAh07iQBLLXPbk&#10;AQAA7gMAAA4AAAAAAAAAAQAgAAAAJgEAAGRycy9lMm9Eb2MueG1sUEsFBgAAAAAGAAYAWQEAAHwF&#10;A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70528" behindDoc="0" locked="0" layoutInCell="1" allowOverlap="1">
                <wp:simplePos x="0" y="0"/>
                <wp:positionH relativeFrom="column">
                  <wp:posOffset>5309235</wp:posOffset>
                </wp:positionH>
                <wp:positionV relativeFrom="paragraph">
                  <wp:posOffset>36195</wp:posOffset>
                </wp:positionV>
                <wp:extent cx="802005" cy="560070"/>
                <wp:effectExtent l="4445" t="4445" r="12700" b="6985"/>
                <wp:wrapNone/>
                <wp:docPr id="27" name="AutoShape 11"/>
                <wp:cNvGraphicFramePr/>
                <a:graphic xmlns:a="http://schemas.openxmlformats.org/drawingml/2006/main">
                  <a:graphicData uri="http://schemas.microsoft.com/office/word/2010/wordprocessingShape">
                    <wps:wsp>
                      <wps:cNvSpPr/>
                      <wps:spPr>
                        <a:xfrm>
                          <a:off x="0" y="0"/>
                          <a:ext cx="802005" cy="560070"/>
                        </a:xfrm>
                        <a:prstGeom prst="roundRect">
                          <a:avLst>
                            <a:gd name="adj" fmla="val 16667"/>
                          </a:avLst>
                        </a:prstGeom>
                        <a:solidFill>
                          <a:srgbClr val="D6E3BC"/>
                        </a:solidFill>
                        <a:ln w="9525" cap="flat" cmpd="sng">
                          <a:solidFill>
                            <a:srgbClr val="000000"/>
                          </a:solidFill>
                          <a:prstDash val="solid"/>
                          <a:headEnd type="none" w="med" len="med"/>
                          <a:tailEnd type="none" w="med" len="med"/>
                        </a:ln>
                        <a:effectLst/>
                      </wps:spPr>
                      <wps:txbx>
                        <w:txbxContent>
                          <w:p>
                            <w:pPr>
                              <w:spacing w:after="0" w:line="240" w:lineRule="auto"/>
                              <w:jc w:val="center"/>
                            </w:pPr>
                            <w:r>
                              <w:rPr>
                                <w:sz w:val="14"/>
                                <w:szCs w:val="14"/>
                              </w:rPr>
                              <w:t>Subbid Administrasi Pelaksanaan APBD</w:t>
                            </w:r>
                          </w:p>
                        </w:txbxContent>
                      </wps:txbx>
                      <wps:bodyPr upright="1"/>
                    </wps:wsp>
                  </a:graphicData>
                </a:graphic>
              </wp:anchor>
            </w:drawing>
          </mc:Choice>
          <mc:Fallback>
            <w:pict>
              <v:roundrect id="AutoShape 11" o:spid="_x0000_s1026" o:spt="2" style="position:absolute;left:0pt;margin-left:418.05pt;margin-top:2.85pt;height:44.1pt;width:63.15pt;z-index:251670528;mso-width-relative:page;mso-height-relative:page;" fillcolor="#D6E3BC" filled="t" stroked="t" coordsize="21600,21600" arcsize="0.166666666666667" o:gfxdata="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Qz+mtgAAAAIAQAADwAA&#10;AAAAAAABACAAAAAiAAAAZHJzL2Rvd25yZXYueG1sUEsBAhQAFAAAAAgAh07iQG2wzUwWAgAAYgQA&#10;AA4AAAAAAAAAAQAgAAAAJwEAAGRycy9lMm9Eb2MueG1sUEsFBgAAAAAGAAYAWQEAAK8FAAAAAA==&#10;">
                <v:fill on="t" focussize="0,0"/>
                <v:stroke color="#000000" joinstyle="round"/>
                <v:imagedata o:title=""/>
                <o:lock v:ext="edit" aspectratio="f"/>
                <v:textbox>
                  <w:txbxContent>
                    <w:p>
                      <w:pPr>
                        <w:spacing w:after="0" w:line="240" w:lineRule="auto"/>
                        <w:jc w:val="center"/>
                      </w:pPr>
                      <w:r>
                        <w:rPr>
                          <w:sz w:val="14"/>
                          <w:szCs w:val="14"/>
                        </w:rPr>
                        <w:t>Subbid Administrasi Pelaksanaan APBD</w:t>
                      </w:r>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26848" behindDoc="0" locked="0" layoutInCell="1" allowOverlap="1">
                <wp:simplePos x="0" y="0"/>
                <wp:positionH relativeFrom="column">
                  <wp:posOffset>4236720</wp:posOffset>
                </wp:positionH>
                <wp:positionV relativeFrom="paragraph">
                  <wp:posOffset>275590</wp:posOffset>
                </wp:positionV>
                <wp:extent cx="45720" cy="0"/>
                <wp:effectExtent l="0" t="0" r="0" b="0"/>
                <wp:wrapNone/>
                <wp:docPr id="83" name="AutoShape 72"/>
                <wp:cNvGraphicFramePr/>
                <a:graphic xmlns:a="http://schemas.openxmlformats.org/drawingml/2006/main">
                  <a:graphicData uri="http://schemas.microsoft.com/office/word/2010/wordprocessingShape">
                    <wps:wsp>
                      <wps:cNvCnPr/>
                      <wps:spPr>
                        <a:xfrm>
                          <a:off x="0" y="0"/>
                          <a:ext cx="4572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72" o:spid="_x0000_s1026" o:spt="32" type="#_x0000_t32" style="position:absolute;left:0pt;margin-left:333.6pt;margin-top:21.7pt;height:0pt;width:3.6pt;z-index:251726848;mso-width-relative:page;mso-height-relative:page;" filled="f" stroked="t" coordsize="21600,21600" o:gfxdata="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Sw2r9cAAAAJ&#10;AQAADwAAAAAAAAABACAAAAAiAAAAZHJzL2Rvd25yZXYueG1sUEsBAhQAFAAAAAgAh07iQHIdrhbk&#10;AQAA7gMAAA4AAAAAAAAAAQAgAAAAJgEAAGRycy9lMm9Eb2MueG1sUEsFBgAAAAAGAAYAWQEAAHwF&#10;A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67456" behindDoc="0" locked="0" layoutInCell="1" allowOverlap="1">
                <wp:simplePos x="0" y="0"/>
                <wp:positionH relativeFrom="column">
                  <wp:posOffset>4286250</wp:posOffset>
                </wp:positionH>
                <wp:positionV relativeFrom="paragraph">
                  <wp:posOffset>65405</wp:posOffset>
                </wp:positionV>
                <wp:extent cx="819150" cy="344805"/>
                <wp:effectExtent l="4445" t="4445" r="14605" b="12700"/>
                <wp:wrapNone/>
                <wp:docPr id="24" name="AutoShape 8"/>
                <wp:cNvGraphicFramePr/>
                <a:graphic xmlns:a="http://schemas.openxmlformats.org/drawingml/2006/main">
                  <a:graphicData uri="http://schemas.microsoft.com/office/word/2010/wordprocessingShape">
                    <wps:wsp>
                      <wps:cNvSpPr/>
                      <wps:spPr>
                        <a:xfrm>
                          <a:off x="0" y="0"/>
                          <a:ext cx="819150" cy="344805"/>
                        </a:xfrm>
                        <a:prstGeom prst="roundRect">
                          <a:avLst>
                            <a:gd name="adj" fmla="val 16667"/>
                          </a:avLst>
                        </a:prstGeom>
                        <a:solidFill>
                          <a:srgbClr val="D6E3BC"/>
                        </a:solidFill>
                        <a:ln w="9525" cap="flat" cmpd="sng">
                          <a:solidFill>
                            <a:srgbClr val="000000"/>
                          </a:solidFill>
                          <a:prstDash val="solid"/>
                          <a:headEnd type="none" w="med" len="med"/>
                          <a:tailEnd type="none" w="med" len="med"/>
                        </a:ln>
                        <a:effectLst/>
                      </wps:spPr>
                      <wps:txbx>
                        <w:txbxContent>
                          <w:p>
                            <w:pPr>
                              <w:spacing w:after="0" w:line="240" w:lineRule="auto"/>
                              <w:jc w:val="center"/>
                              <w:rPr>
                                <w:sz w:val="14"/>
                                <w:szCs w:val="14"/>
                              </w:rPr>
                            </w:pPr>
                            <w:r>
                              <w:rPr>
                                <w:sz w:val="14"/>
                                <w:szCs w:val="14"/>
                              </w:rPr>
                              <w:t>Subbid Bina Wilayah I</w:t>
                            </w:r>
                          </w:p>
                          <w:p/>
                        </w:txbxContent>
                      </wps:txbx>
                      <wps:bodyPr upright="1"/>
                    </wps:wsp>
                  </a:graphicData>
                </a:graphic>
              </wp:anchor>
            </w:drawing>
          </mc:Choice>
          <mc:Fallback>
            <w:pict>
              <v:roundrect id="AutoShape 8" o:spid="_x0000_s1026" o:spt="2" style="position:absolute;left:0pt;margin-left:337.5pt;margin-top:5.15pt;height:27.15pt;width:64.5pt;z-index:251667456;mso-width-relative:page;mso-height-relative:page;" fillcolor="#D6E3BC" filled="t" stroked="t" coordsize="21600,21600" arcsize="0.166666666666667" o:gfxdata="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9gu87XAAAACQEAAA8A&#10;AAAAAAAAAQAgAAAAIgAAAGRycy9kb3ducmV2LnhtbFBLAQIUABQAAAAIAIdO4kAQkPGdGAIAAGEE&#10;AAAOAAAAAAAAAAEAIAAAACYBAABkcnMvZTJvRG9jLnhtbFBLBQYAAAAABgAGAFkBAACwBQAAAAA=&#10;">
                <v:fill on="t" focussize="0,0"/>
                <v:stroke color="#000000" joinstyle="round"/>
                <v:imagedata o:title=""/>
                <o:lock v:ext="edit" aspectratio="f"/>
                <v:textbox>
                  <w:txbxContent>
                    <w:p>
                      <w:pPr>
                        <w:spacing w:after="0" w:line="240" w:lineRule="auto"/>
                        <w:jc w:val="center"/>
                        <w:rPr>
                          <w:sz w:val="14"/>
                          <w:szCs w:val="14"/>
                        </w:rPr>
                      </w:pPr>
                      <w:r>
                        <w:rPr>
                          <w:sz w:val="14"/>
                          <w:szCs w:val="14"/>
                        </w:rPr>
                        <w:t>Subbid Bina Wilayah I</w:t>
                      </w:r>
                    </w:p>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24800" behindDoc="0" locked="0" layoutInCell="1" allowOverlap="1">
                <wp:simplePos x="0" y="0"/>
                <wp:positionH relativeFrom="column">
                  <wp:posOffset>3155315</wp:posOffset>
                </wp:positionH>
                <wp:positionV relativeFrom="paragraph">
                  <wp:posOffset>253365</wp:posOffset>
                </wp:positionV>
                <wp:extent cx="66675" cy="0"/>
                <wp:effectExtent l="0" t="0" r="0" b="0"/>
                <wp:wrapNone/>
                <wp:docPr id="81" name="AutoShape 68"/>
                <wp:cNvGraphicFramePr/>
                <a:graphic xmlns:a="http://schemas.openxmlformats.org/drawingml/2006/main">
                  <a:graphicData uri="http://schemas.microsoft.com/office/word/2010/wordprocessingShape">
                    <wps:wsp>
                      <wps:cNvCnPr/>
                      <wps:spPr>
                        <a:xfrm>
                          <a:off x="0" y="0"/>
                          <a:ext cx="6667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68" o:spid="_x0000_s1026" o:spt="32" type="#_x0000_t32" style="position:absolute;left:0pt;margin-left:248.45pt;margin-top:19.95pt;height:0pt;width:5.25pt;z-index:251724800;mso-width-relative:page;mso-height-relative:page;" filled="f" stroked="t" coordsize="21600,21600" o:gfxdata="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IU5a21wAAAAkB&#10;AAAPAAAAAAAAAAEAIAAAACIAAABkcnMvZG93bnJldi54bWxQSwECFAAUAAAACACHTuJA5chII+MB&#10;AADuAwAADgAAAAAAAAABACAAAAAmAQAAZHJzL2Uyb0RvYy54bWxQSwUGAAAAAAYABgBZAQAAewUA&#10;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64384" behindDoc="0" locked="0" layoutInCell="1" allowOverlap="1">
                <wp:simplePos x="0" y="0"/>
                <wp:positionH relativeFrom="column">
                  <wp:posOffset>3276600</wp:posOffset>
                </wp:positionH>
                <wp:positionV relativeFrom="paragraph">
                  <wp:posOffset>48895</wp:posOffset>
                </wp:positionV>
                <wp:extent cx="819150" cy="384810"/>
                <wp:effectExtent l="5080" t="4445" r="13970" b="10795"/>
                <wp:wrapNone/>
                <wp:docPr id="21" name="AutoShape 5"/>
                <wp:cNvGraphicFramePr/>
                <a:graphic xmlns:a="http://schemas.openxmlformats.org/drawingml/2006/main">
                  <a:graphicData uri="http://schemas.microsoft.com/office/word/2010/wordprocessingShape">
                    <wps:wsp>
                      <wps:cNvSpPr/>
                      <wps:spPr>
                        <a:xfrm>
                          <a:off x="0" y="0"/>
                          <a:ext cx="819150" cy="384810"/>
                        </a:xfrm>
                        <a:prstGeom prst="roundRect">
                          <a:avLst>
                            <a:gd name="adj" fmla="val 16667"/>
                          </a:avLst>
                        </a:prstGeom>
                        <a:solidFill>
                          <a:srgbClr val="D6E3BC"/>
                        </a:solidFill>
                        <a:ln w="9525" cap="flat" cmpd="sng">
                          <a:solidFill>
                            <a:srgbClr val="000000"/>
                          </a:solidFill>
                          <a:prstDash val="solid"/>
                          <a:headEnd type="none" w="med" len="med"/>
                          <a:tailEnd type="none" w="med" len="med"/>
                        </a:ln>
                        <a:effectLst/>
                      </wps:spPr>
                      <wps:txbx>
                        <w:txbxContent>
                          <w:p>
                            <w:pPr>
                              <w:spacing w:after="0" w:line="240" w:lineRule="auto"/>
                              <w:jc w:val="center"/>
                              <w:rPr>
                                <w:sz w:val="14"/>
                                <w:szCs w:val="14"/>
                              </w:rPr>
                            </w:pPr>
                            <w:r>
                              <w:rPr>
                                <w:sz w:val="14"/>
                                <w:szCs w:val="14"/>
                              </w:rPr>
                              <w:t>Subbid Akuntansi I</w:t>
                            </w:r>
                          </w:p>
                          <w:p/>
                        </w:txbxContent>
                      </wps:txbx>
                      <wps:bodyPr upright="1"/>
                    </wps:wsp>
                  </a:graphicData>
                </a:graphic>
              </wp:anchor>
            </w:drawing>
          </mc:Choice>
          <mc:Fallback>
            <w:pict>
              <v:roundrect id="AutoShape 5" o:spid="_x0000_s1026" o:spt="2" style="position:absolute;left:0pt;margin-left:258pt;margin-top:3.85pt;height:30.3pt;width:64.5pt;z-index:251664384;mso-width-relative:page;mso-height-relative:page;" fillcolor="#D6E3BC" filled="t" stroked="t" coordsize="21600,21600" arcsize="0.166666666666667" o:gfxdata="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01cKXXAAAACAEAAA8A&#10;AAAAAAAAAQAgAAAAIgAAAGRycy9kb3ducmV2LnhtbFBLAQIUABQAAAAIAIdO4kADEk8NGAIAAGEE&#10;AAAOAAAAAAAAAAEAIAAAACYBAABkcnMvZTJvRG9jLnhtbFBLBQYAAAAABgAGAFkBAACwBQAAAAA=&#10;">
                <v:fill on="t" focussize="0,0"/>
                <v:stroke color="#000000" joinstyle="round"/>
                <v:imagedata o:title=""/>
                <o:lock v:ext="edit" aspectratio="f"/>
                <v:textbox>
                  <w:txbxContent>
                    <w:p>
                      <w:pPr>
                        <w:spacing w:after="0" w:line="240" w:lineRule="auto"/>
                        <w:jc w:val="center"/>
                        <w:rPr>
                          <w:sz w:val="14"/>
                          <w:szCs w:val="14"/>
                        </w:rPr>
                      </w:pPr>
                      <w:r>
                        <w:rPr>
                          <w:sz w:val="14"/>
                          <w:szCs w:val="14"/>
                        </w:rPr>
                        <w:t>Subbid Akuntansi I</w:t>
                      </w:r>
                    </w:p>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20704" behindDoc="0" locked="0" layoutInCell="1" allowOverlap="1">
                <wp:simplePos x="0" y="0"/>
                <wp:positionH relativeFrom="column">
                  <wp:posOffset>1972310</wp:posOffset>
                </wp:positionH>
                <wp:positionV relativeFrom="paragraph">
                  <wp:posOffset>225425</wp:posOffset>
                </wp:positionV>
                <wp:extent cx="89535" cy="0"/>
                <wp:effectExtent l="0" t="0" r="0" b="0"/>
                <wp:wrapNone/>
                <wp:docPr id="77" name="AutoShape 64"/>
                <wp:cNvGraphicFramePr/>
                <a:graphic xmlns:a="http://schemas.openxmlformats.org/drawingml/2006/main">
                  <a:graphicData uri="http://schemas.microsoft.com/office/word/2010/wordprocessingShape">
                    <wps:wsp>
                      <wps:cNvCnPr/>
                      <wps:spPr>
                        <a:xfrm>
                          <a:off x="0" y="0"/>
                          <a:ext cx="8953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64" o:spid="_x0000_s1026" o:spt="32" type="#_x0000_t32" style="position:absolute;left:0pt;margin-left:155.3pt;margin-top:17.75pt;height:0pt;width:7.05pt;z-index:251720704;mso-width-relative:page;mso-height-relative:page;" filled="f" stroked="t" coordsize="21600,21600" o:gfxdata="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cmlL9cAAAAJ&#10;AQAADwAAAAAAAAABACAAAAAiAAAAZHJzL2Rvd25yZXYueG1sUEsBAhQAFAAAAAgAh07iQOowe5fk&#10;AQAA7gMAAA4AAAAAAAAAAQAgAAAAJgEAAGRycy9lMm9Eb2MueG1sUEsFBgAAAAAGAAYAWQEAAHwF&#10;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-95250</wp:posOffset>
                </wp:positionH>
                <wp:positionV relativeFrom="paragraph">
                  <wp:posOffset>268605</wp:posOffset>
                </wp:positionV>
                <wp:extent cx="88900" cy="635"/>
                <wp:effectExtent l="0" t="0" r="0" b="0"/>
                <wp:wrapNone/>
                <wp:docPr id="90" name="Lines 81"/>
                <wp:cNvGraphicFramePr/>
                <a:graphic xmlns:a="http://schemas.openxmlformats.org/drawingml/2006/main">
                  <a:graphicData uri="http://schemas.microsoft.com/office/word/2010/wordprocessingShape">
                    <wps:wsp>
                      <wps:cNvCnPr/>
                      <wps:spPr>
                        <a:xfrm>
                          <a:off x="0" y="0"/>
                          <a:ext cx="8890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s 81" o:spid="_x0000_s1026" o:spt="20" style="position:absolute;left:0pt;margin-left:-7.5pt;margin-top:21.15pt;height:0.05pt;width:7pt;z-index:251732992;mso-width-relative:page;mso-height-relative:page;" filled="f" stroked="t" coordsize="21600,21600" o:gfxdata="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YGHvvWAAAACAEAAA8A&#10;AAAAAAAAAQAgAAAAIgAAAGRycy9kb3ducmV2LnhtbFBLAQIUABQAAAAIAIdO4kDshKk24AEAAOoD&#10;AAAOAAAAAAAAAAEAIAAAACUBAABkcnMvZTJvRG9jLnhtbFBLBQYAAAAABgAGAFkBAAB3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952500</wp:posOffset>
                </wp:positionH>
                <wp:positionV relativeFrom="paragraph">
                  <wp:posOffset>244475</wp:posOffset>
                </wp:positionV>
                <wp:extent cx="95250" cy="635"/>
                <wp:effectExtent l="0" t="0" r="0" b="0"/>
                <wp:wrapNone/>
                <wp:docPr id="91" name="Lines 83"/>
                <wp:cNvGraphicFramePr/>
                <a:graphic xmlns:a="http://schemas.openxmlformats.org/drawingml/2006/main">
                  <a:graphicData uri="http://schemas.microsoft.com/office/word/2010/wordprocessingShape">
                    <wps:wsp>
                      <wps:cNvCnPr/>
                      <wps:spPr>
                        <a:xfrm>
                          <a:off x="0" y="0"/>
                          <a:ext cx="9525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s 83" o:spid="_x0000_s1026" o:spt="20" style="position:absolute;left:0pt;margin-left:75pt;margin-top:19.25pt;height:0.05pt;width:7.5pt;z-index:251734016;mso-width-relative:page;mso-height-relative:page;" filled="f" stroked="t" coordsize="21600,21600" o:gfxdata="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kq3JXVAAAACQEAAA8AAAAA&#10;AAAAAQAgAAAAIgAAAGRycy9kb3ducmV2LnhtbFBLAQIUABQAAAAIAIdO4kBbaRYJ3gEAAOoDAAAO&#10;AAAAAAAAAAEAIAAAACQBAABkcnMvZTJvRG9jLnhtbFBLBQYAAAAABgAGAFkBAAB0BQAAAAA=&#10;">
                <v:fill on="f" focussize="0,0"/>
                <v:stroke color="#000000" joinstyle="round"/>
                <v:imagedata o:title=""/>
                <o:lock v:ext="edit" aspectratio="f"/>
              </v:lin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80768" behindDoc="0" locked="0" layoutInCell="1" allowOverlap="1">
                <wp:simplePos x="0" y="0"/>
                <wp:positionH relativeFrom="column">
                  <wp:posOffset>2082165</wp:posOffset>
                </wp:positionH>
                <wp:positionV relativeFrom="paragraph">
                  <wp:posOffset>31115</wp:posOffset>
                </wp:positionV>
                <wp:extent cx="819150" cy="427355"/>
                <wp:effectExtent l="4445" t="4445" r="14605" b="6350"/>
                <wp:wrapNone/>
                <wp:docPr id="37" name="AutoShape 21"/>
                <wp:cNvGraphicFramePr/>
                <a:graphic xmlns:a="http://schemas.openxmlformats.org/drawingml/2006/main">
                  <a:graphicData uri="http://schemas.microsoft.com/office/word/2010/wordprocessingShape">
                    <wps:wsp>
                      <wps:cNvSpPr/>
                      <wps:spPr>
                        <a:xfrm>
                          <a:off x="0" y="0"/>
                          <a:ext cx="819150" cy="427355"/>
                        </a:xfrm>
                        <a:prstGeom prst="roundRect">
                          <a:avLst>
                            <a:gd name="adj" fmla="val 16667"/>
                          </a:avLst>
                        </a:prstGeom>
                        <a:solidFill>
                          <a:srgbClr val="D6E3BC"/>
                        </a:solidFill>
                        <a:ln w="9525" cap="flat" cmpd="sng">
                          <a:solidFill>
                            <a:srgbClr val="000000"/>
                          </a:solidFill>
                          <a:prstDash val="solid"/>
                          <a:headEnd type="none" w="med" len="med"/>
                          <a:tailEnd type="none" w="med" len="med"/>
                        </a:ln>
                        <a:effectLst/>
                      </wps:spPr>
                      <wps:txbx>
                        <w:txbxContent>
                          <w:p>
                            <w:pPr>
                              <w:spacing w:after="0" w:line="240" w:lineRule="auto"/>
                              <w:jc w:val="center"/>
                              <w:rPr>
                                <w:sz w:val="14"/>
                                <w:szCs w:val="14"/>
                              </w:rPr>
                            </w:pPr>
                            <w:r>
                              <w:rPr>
                                <w:sz w:val="14"/>
                                <w:szCs w:val="14"/>
                              </w:rPr>
                              <w:t>Subbid Anggaran I</w:t>
                            </w:r>
                          </w:p>
                        </w:txbxContent>
                      </wps:txbx>
                      <wps:bodyPr upright="1"/>
                    </wps:wsp>
                  </a:graphicData>
                </a:graphic>
              </wp:anchor>
            </w:drawing>
          </mc:Choice>
          <mc:Fallback>
            <w:pict>
              <v:roundrect id="AutoShape 21" o:spid="_x0000_s1026" o:spt="2" style="position:absolute;left:0pt;margin-left:163.95pt;margin-top:2.45pt;height:33.65pt;width:64.5pt;z-index:251680768;mso-width-relative:page;mso-height-relative:page;" fillcolor="#D6E3BC" filled="t" stroked="t" coordsize="21600,21600" arcsize="0.166666666666667" o:gfxdata="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jaHIw2AAAAAgBAAAP&#10;AAAAAAAAAAEAIAAAACIAAABkcnMvZG93bnJldi54bWxQSwECFAAUAAAACACHTuJANu1A+BgCAABi&#10;BAAADgAAAAAAAAABACAAAAAnAQAAZHJzL2Uyb0RvYy54bWxQSwUGAAAAAAYABgBZAQAAsQUAAAAA&#10;">
                <v:fill on="t" focussize="0,0"/>
                <v:stroke color="#000000" joinstyle="round"/>
                <v:imagedata o:title=""/>
                <o:lock v:ext="edit" aspectratio="f"/>
                <v:textbox>
                  <w:txbxContent>
                    <w:p>
                      <w:pPr>
                        <w:spacing w:after="0" w:line="240" w:lineRule="auto"/>
                        <w:jc w:val="center"/>
                        <w:rPr>
                          <w:sz w:val="14"/>
                          <w:szCs w:val="14"/>
                        </w:rPr>
                      </w:pPr>
                      <w:r>
                        <w:rPr>
                          <w:sz w:val="14"/>
                          <w:szCs w:val="14"/>
                        </w:rPr>
                        <w:t>Subbid Anggaran I</w:t>
                      </w:r>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86912" behindDoc="0" locked="0" layoutInCell="1" allowOverlap="1">
                <wp:simplePos x="0" y="0"/>
                <wp:positionH relativeFrom="column">
                  <wp:posOffset>1066165</wp:posOffset>
                </wp:positionH>
                <wp:positionV relativeFrom="paragraph">
                  <wp:posOffset>37465</wp:posOffset>
                </wp:positionV>
                <wp:extent cx="819150" cy="495300"/>
                <wp:effectExtent l="4445" t="4445" r="14605" b="14605"/>
                <wp:wrapNone/>
                <wp:docPr id="43" name="AutoShape 27"/>
                <wp:cNvGraphicFramePr/>
                <a:graphic xmlns:a="http://schemas.openxmlformats.org/drawingml/2006/main">
                  <a:graphicData uri="http://schemas.microsoft.com/office/word/2010/wordprocessingShape">
                    <wps:wsp>
                      <wps:cNvSpPr/>
                      <wps:spPr>
                        <a:xfrm>
                          <a:off x="0" y="0"/>
                          <a:ext cx="819150" cy="495300"/>
                        </a:xfrm>
                        <a:prstGeom prst="roundRect">
                          <a:avLst>
                            <a:gd name="adj" fmla="val 16667"/>
                          </a:avLst>
                        </a:prstGeom>
                        <a:solidFill>
                          <a:srgbClr val="D6E3BC"/>
                        </a:solidFill>
                        <a:ln w="9525" cap="flat" cmpd="sng">
                          <a:solidFill>
                            <a:srgbClr val="000000"/>
                          </a:solidFill>
                          <a:prstDash val="solid"/>
                          <a:headEnd type="none" w="med" len="med"/>
                          <a:tailEnd type="none" w="med" len="med"/>
                        </a:ln>
                        <a:effectLst/>
                      </wps:spPr>
                      <wps:txbx>
                        <w:txbxContent>
                          <w:p>
                            <w:pPr>
                              <w:spacing w:after="0" w:line="240" w:lineRule="auto"/>
                              <w:jc w:val="center"/>
                              <w:rPr>
                                <w:sz w:val="14"/>
                                <w:szCs w:val="14"/>
                                <w:lang w:val="id-ID"/>
                              </w:rPr>
                            </w:pPr>
                            <w:r>
                              <w:rPr>
                                <w:sz w:val="14"/>
                                <w:szCs w:val="14"/>
                              </w:rPr>
                              <w:t xml:space="preserve">Subbid </w:t>
                            </w:r>
                            <w:r>
                              <w:rPr>
                                <w:sz w:val="14"/>
                                <w:szCs w:val="14"/>
                                <w:lang w:val="id-ID"/>
                              </w:rPr>
                              <w:t>Retribusi dan PLL</w:t>
                            </w:r>
                          </w:p>
                        </w:txbxContent>
                      </wps:txbx>
                      <wps:bodyPr upright="1"/>
                    </wps:wsp>
                  </a:graphicData>
                </a:graphic>
              </wp:anchor>
            </w:drawing>
          </mc:Choice>
          <mc:Fallback>
            <w:pict>
              <v:roundrect id="AutoShape 27" o:spid="_x0000_s1026" o:spt="2" style="position:absolute;left:0pt;margin-left:83.95pt;margin-top:2.95pt;height:39pt;width:64.5pt;z-index:251686912;mso-width-relative:page;mso-height-relative:page;" fillcolor="#D6E3BC" filled="t" stroked="t" coordsize="21600,21600" arcsize="0.166666666666667" o:gfxdata="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iGvX9cAAAAIAQAA&#10;DwAAAAAAAAABACAAAAAiAAAAZHJzL2Rvd25yZXYueG1sUEsBAhQAFAAAAAgAh07iQAyWXvsaAgAA&#10;YgQAAA4AAAAAAAAAAQAgAAAAJgEAAGRycy9lMm9Eb2MueG1sUEsFBgAAAAAGAAYAWQEAALIFAAAA&#10;AA==&#10;">
                <v:fill on="t" focussize="0,0"/>
                <v:stroke color="#000000" joinstyle="round"/>
                <v:imagedata o:title=""/>
                <o:lock v:ext="edit" aspectratio="f"/>
                <v:textbox>
                  <w:txbxContent>
                    <w:p>
                      <w:pPr>
                        <w:spacing w:after="0" w:line="240" w:lineRule="auto"/>
                        <w:jc w:val="center"/>
                        <w:rPr>
                          <w:sz w:val="14"/>
                          <w:szCs w:val="14"/>
                          <w:lang w:val="id-ID"/>
                        </w:rPr>
                      </w:pPr>
                      <w:r>
                        <w:rPr>
                          <w:sz w:val="14"/>
                          <w:szCs w:val="14"/>
                        </w:rPr>
                        <w:t xml:space="preserve">Subbid </w:t>
                      </w:r>
                      <w:r>
                        <w:rPr>
                          <w:sz w:val="14"/>
                          <w:szCs w:val="14"/>
                          <w:lang w:val="id-ID"/>
                        </w:rPr>
                        <w:t>Retribusi dan PLL</w:t>
                      </w:r>
                    </w:p>
                  </w:txbxContent>
                </v:textbox>
              </v:roundrect>
            </w:pict>
          </mc:Fallback>
        </mc:AlternateContent>
      </w:r>
    </w:p>
    <w:p>
      <w:pPr>
        <w:rPr>
          <w:rFonts w:ascii="Batang" w:hAnsi="Batang" w:eastAsia="Batang" w:cs="MS Reference Sans Serif"/>
          <w:lang w:val="id-ID"/>
        </w:rPr>
      </w:pPr>
      <w:r>
        <w:rPr>
          <w:rFonts w:ascii="Batang" w:hAnsi="Batang" w:eastAsia="Batang" w:cs="MS Reference Sans Serif"/>
          <w:b/>
          <w:bCs/>
          <w:lang w:val="id-ID" w:eastAsia="id-ID"/>
        </w:rPr>
        <mc:AlternateContent>
          <mc:Choice Requires="wps">
            <w:drawing>
              <wp:anchor distT="0" distB="0" distL="114300" distR="114300" simplePos="0" relativeHeight="251669504" behindDoc="0" locked="0" layoutInCell="1" allowOverlap="1">
                <wp:simplePos x="0" y="0"/>
                <wp:positionH relativeFrom="column">
                  <wp:posOffset>5291455</wp:posOffset>
                </wp:positionH>
                <wp:positionV relativeFrom="paragraph">
                  <wp:posOffset>312420</wp:posOffset>
                </wp:positionV>
                <wp:extent cx="803275" cy="356235"/>
                <wp:effectExtent l="4445" t="4445" r="11430" b="20320"/>
                <wp:wrapNone/>
                <wp:docPr id="26" name="AutoShape 10"/>
                <wp:cNvGraphicFramePr/>
                <a:graphic xmlns:a="http://schemas.openxmlformats.org/drawingml/2006/main">
                  <a:graphicData uri="http://schemas.microsoft.com/office/word/2010/wordprocessingShape">
                    <wps:wsp>
                      <wps:cNvSpPr/>
                      <wps:spPr>
                        <a:xfrm>
                          <a:off x="0" y="0"/>
                          <a:ext cx="803275" cy="356235"/>
                        </a:xfrm>
                        <a:prstGeom prst="roundRect">
                          <a:avLst>
                            <a:gd name="adj" fmla="val 16667"/>
                          </a:avLst>
                        </a:prstGeom>
                        <a:solidFill>
                          <a:srgbClr val="D6E3BC"/>
                        </a:solidFill>
                        <a:ln w="9525" cap="flat" cmpd="sng">
                          <a:solidFill>
                            <a:srgbClr val="000000"/>
                          </a:solidFill>
                          <a:prstDash val="solid"/>
                          <a:headEnd type="none" w="med" len="med"/>
                          <a:tailEnd type="none" w="med" len="med"/>
                        </a:ln>
                        <a:effectLst/>
                      </wps:spPr>
                      <wps:txbx>
                        <w:txbxContent>
                          <w:p>
                            <w:pPr>
                              <w:spacing w:after="0" w:line="240" w:lineRule="auto"/>
                              <w:jc w:val="center"/>
                              <w:rPr>
                                <w:sz w:val="14"/>
                                <w:szCs w:val="14"/>
                                <w:lang w:val="id-ID"/>
                              </w:rPr>
                            </w:pPr>
                            <w:r>
                              <w:rPr>
                                <w:sz w:val="14"/>
                                <w:szCs w:val="14"/>
                              </w:rPr>
                              <w:t xml:space="preserve">Subbid </w:t>
                            </w:r>
                            <w:r>
                              <w:rPr>
                                <w:sz w:val="14"/>
                                <w:szCs w:val="14"/>
                                <w:lang w:val="id-ID"/>
                              </w:rPr>
                              <w:t>Penerimaan</w:t>
                            </w:r>
                          </w:p>
                        </w:txbxContent>
                      </wps:txbx>
                      <wps:bodyPr upright="1"/>
                    </wps:wsp>
                  </a:graphicData>
                </a:graphic>
              </wp:anchor>
            </w:drawing>
          </mc:Choice>
          <mc:Fallback>
            <w:pict>
              <v:roundrect id="AutoShape 10" o:spid="_x0000_s1026" o:spt="2" style="position:absolute;left:0pt;margin-left:416.65pt;margin-top:24.6pt;height:28.05pt;width:63.25pt;z-index:251669504;mso-width-relative:page;mso-height-relative:page;" fillcolor="#D6E3BC" filled="t" stroked="t" coordsize="21600,21600" arcsize="0.166666666666667" o:gfxdata="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Ih+qT2QAAAAoBAAAP&#10;AAAAAAAAAAEAIAAAACIAAABkcnMvZG93bnJldi54bWxQSwECFAAUAAAACACHTuJAjHnBTxcCAABi&#10;BAAADgAAAAAAAAABACAAAAAoAQAAZHJzL2Uyb0RvYy54bWxQSwUGAAAAAAYABgBZAQAAsQUAAAAA&#10;">
                <v:fill on="t" focussize="0,0"/>
                <v:stroke color="#000000" joinstyle="round"/>
                <v:imagedata o:title=""/>
                <o:lock v:ext="edit" aspectratio="f"/>
                <v:textbox>
                  <w:txbxContent>
                    <w:p>
                      <w:pPr>
                        <w:spacing w:after="0" w:line="240" w:lineRule="auto"/>
                        <w:jc w:val="center"/>
                        <w:rPr>
                          <w:sz w:val="14"/>
                          <w:szCs w:val="14"/>
                          <w:lang w:val="id-ID"/>
                        </w:rPr>
                      </w:pPr>
                      <w:r>
                        <w:rPr>
                          <w:sz w:val="14"/>
                          <w:szCs w:val="14"/>
                        </w:rPr>
                        <w:t xml:space="preserve">Subbid </w:t>
                      </w:r>
                      <w:r>
                        <w:rPr>
                          <w:sz w:val="14"/>
                          <w:szCs w:val="14"/>
                          <w:lang w:val="id-ID"/>
                        </w:rPr>
                        <w:t>Penerimaan</w:t>
                      </w:r>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66432" behindDoc="0" locked="0" layoutInCell="1" allowOverlap="1">
                <wp:simplePos x="0" y="0"/>
                <wp:positionH relativeFrom="column">
                  <wp:posOffset>4305300</wp:posOffset>
                </wp:positionH>
                <wp:positionV relativeFrom="paragraph">
                  <wp:posOffset>287020</wp:posOffset>
                </wp:positionV>
                <wp:extent cx="819150" cy="377190"/>
                <wp:effectExtent l="5080" t="4445" r="13970" b="18415"/>
                <wp:wrapNone/>
                <wp:docPr id="23" name="AutoShape 7"/>
                <wp:cNvGraphicFramePr/>
                <a:graphic xmlns:a="http://schemas.openxmlformats.org/drawingml/2006/main">
                  <a:graphicData uri="http://schemas.microsoft.com/office/word/2010/wordprocessingShape">
                    <wps:wsp>
                      <wps:cNvSpPr/>
                      <wps:spPr>
                        <a:xfrm>
                          <a:off x="0" y="0"/>
                          <a:ext cx="819150" cy="377190"/>
                        </a:xfrm>
                        <a:prstGeom prst="roundRect">
                          <a:avLst>
                            <a:gd name="adj" fmla="val 16667"/>
                          </a:avLst>
                        </a:prstGeom>
                        <a:solidFill>
                          <a:srgbClr val="D6E3BC"/>
                        </a:solidFill>
                        <a:ln w="9525" cap="flat" cmpd="sng">
                          <a:solidFill>
                            <a:srgbClr val="000000"/>
                          </a:solidFill>
                          <a:prstDash val="solid"/>
                          <a:headEnd type="none" w="med" len="med"/>
                          <a:tailEnd type="none" w="med" len="med"/>
                        </a:ln>
                        <a:effectLst/>
                      </wps:spPr>
                      <wps:txbx>
                        <w:txbxContent>
                          <w:p>
                            <w:pPr>
                              <w:spacing w:after="0" w:line="240" w:lineRule="auto"/>
                              <w:jc w:val="center"/>
                            </w:pPr>
                            <w:r>
                              <w:rPr>
                                <w:sz w:val="14"/>
                                <w:szCs w:val="14"/>
                              </w:rPr>
                              <w:t xml:space="preserve">Subbid Bina </w:t>
                            </w:r>
                            <w:r>
                              <w:rPr>
                                <w:sz w:val="14"/>
                                <w:szCs w:val="14"/>
                                <w:lang w:val="id-ID"/>
                              </w:rPr>
                              <w:t>Wilayah II</w:t>
                            </w:r>
                          </w:p>
                        </w:txbxContent>
                      </wps:txbx>
                      <wps:bodyPr upright="1"/>
                    </wps:wsp>
                  </a:graphicData>
                </a:graphic>
              </wp:anchor>
            </w:drawing>
          </mc:Choice>
          <mc:Fallback>
            <w:pict>
              <v:roundrect id="AutoShape 7" o:spid="_x0000_s1026" o:spt="2" style="position:absolute;left:0pt;margin-left:339pt;margin-top:22.6pt;height:29.7pt;width:64.5pt;z-index:251666432;mso-width-relative:page;mso-height-relative:page;" fillcolor="#D6E3BC" filled="t" stroked="t" coordsize="21600,21600" arcsize="0.166666666666667" o:gfxdata="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W8w59kAAAAKAQAA&#10;DwAAAAAAAAABACAAAAAiAAAAZHJzL2Rvd25yZXYueG1sUEsBAhQAFAAAAAgAh07iQKSODOQYAgAA&#10;YQQAAA4AAAAAAAAAAQAgAAAAKAEAAGRycy9lMm9Eb2MueG1sUEsFBgAAAAAGAAYAWQEAALIFAAAA&#10;AA==&#10;">
                <v:fill on="t" focussize="0,0"/>
                <v:stroke color="#000000" joinstyle="round"/>
                <v:imagedata o:title=""/>
                <o:lock v:ext="edit" aspectratio="f"/>
                <v:textbox>
                  <w:txbxContent>
                    <w:p>
                      <w:pPr>
                        <w:spacing w:after="0" w:line="240" w:lineRule="auto"/>
                        <w:jc w:val="center"/>
                      </w:pPr>
                      <w:r>
                        <w:rPr>
                          <w:sz w:val="14"/>
                          <w:szCs w:val="14"/>
                        </w:rPr>
                        <w:t xml:space="preserve">Subbid Bina </w:t>
                      </w:r>
                      <w:r>
                        <w:rPr>
                          <w:sz w:val="14"/>
                          <w:szCs w:val="14"/>
                          <w:lang w:val="id-ID"/>
                        </w:rPr>
                        <w:t>Wilayah II</w:t>
                      </w:r>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63360" behindDoc="0" locked="0" layoutInCell="1" allowOverlap="1">
                <wp:simplePos x="0" y="0"/>
                <wp:positionH relativeFrom="column">
                  <wp:posOffset>3285490</wp:posOffset>
                </wp:positionH>
                <wp:positionV relativeFrom="paragraph">
                  <wp:posOffset>299085</wp:posOffset>
                </wp:positionV>
                <wp:extent cx="819150" cy="353695"/>
                <wp:effectExtent l="4445" t="4445" r="14605" b="22860"/>
                <wp:wrapNone/>
                <wp:docPr id="19" name="AutoShape 4"/>
                <wp:cNvGraphicFramePr/>
                <a:graphic xmlns:a="http://schemas.openxmlformats.org/drawingml/2006/main">
                  <a:graphicData uri="http://schemas.microsoft.com/office/word/2010/wordprocessingShape">
                    <wps:wsp>
                      <wps:cNvSpPr/>
                      <wps:spPr>
                        <a:xfrm>
                          <a:off x="0" y="0"/>
                          <a:ext cx="819150" cy="353695"/>
                        </a:xfrm>
                        <a:prstGeom prst="roundRect">
                          <a:avLst>
                            <a:gd name="adj" fmla="val 16667"/>
                          </a:avLst>
                        </a:prstGeom>
                        <a:solidFill>
                          <a:srgbClr val="D6E3BC"/>
                        </a:solidFill>
                        <a:ln w="9525" cap="flat" cmpd="sng">
                          <a:solidFill>
                            <a:srgbClr val="000000"/>
                          </a:solidFill>
                          <a:prstDash val="solid"/>
                          <a:headEnd type="none" w="med" len="med"/>
                          <a:tailEnd type="none" w="med" len="med"/>
                        </a:ln>
                        <a:effectLst/>
                      </wps:spPr>
                      <wps:txbx>
                        <w:txbxContent>
                          <w:p>
                            <w:pPr>
                              <w:spacing w:after="0" w:line="240" w:lineRule="auto"/>
                              <w:jc w:val="center"/>
                              <w:rPr>
                                <w:sz w:val="14"/>
                                <w:szCs w:val="14"/>
                              </w:rPr>
                            </w:pPr>
                            <w:r>
                              <w:rPr>
                                <w:sz w:val="14"/>
                                <w:szCs w:val="14"/>
                              </w:rPr>
                              <w:t>Subbid Akuntansi II</w:t>
                            </w:r>
                          </w:p>
                          <w:p>
                            <w:pPr>
                              <w:spacing w:after="0" w:line="240" w:lineRule="auto"/>
                              <w:jc w:val="center"/>
                            </w:pPr>
                          </w:p>
                        </w:txbxContent>
                      </wps:txbx>
                      <wps:bodyPr upright="1"/>
                    </wps:wsp>
                  </a:graphicData>
                </a:graphic>
              </wp:anchor>
            </w:drawing>
          </mc:Choice>
          <mc:Fallback>
            <w:pict>
              <v:roundrect id="AutoShape 4" o:spid="_x0000_s1026" o:spt="2" style="position:absolute;left:0pt;margin-left:258.7pt;margin-top:23.55pt;height:27.85pt;width:64.5pt;z-index:251663360;mso-width-relative:page;mso-height-relative:page;" fillcolor="#D6E3BC" filled="t" stroked="t" coordsize="21600,21600" arcsize="0.166666666666667" o:gfxdata="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Ejk3YAAAACgEAAA8A&#10;AAAAAAAAAQAgAAAAIgAAAGRycy9kb3ducmV2LnhtbFBLAQIUABQAAAAIAIdO4kApcxNEFwIAAGEE&#10;AAAOAAAAAAAAAAEAIAAAACcBAABkcnMvZTJvRG9jLnhtbFBLBQYAAAAABgAGAFkBAACwBQAAAAA=&#10;">
                <v:fill on="t" focussize="0,0"/>
                <v:stroke color="#000000" joinstyle="round"/>
                <v:imagedata o:title=""/>
                <o:lock v:ext="edit" aspectratio="f"/>
                <v:textbox>
                  <w:txbxContent>
                    <w:p>
                      <w:pPr>
                        <w:spacing w:after="0" w:line="240" w:lineRule="auto"/>
                        <w:jc w:val="center"/>
                        <w:rPr>
                          <w:sz w:val="14"/>
                          <w:szCs w:val="14"/>
                        </w:rPr>
                      </w:pPr>
                      <w:r>
                        <w:rPr>
                          <w:sz w:val="14"/>
                          <w:szCs w:val="14"/>
                        </w:rPr>
                        <w:t>Subbid Akuntansi II</w:t>
                      </w:r>
                    </w:p>
                    <w:p>
                      <w:pPr>
                        <w:spacing w:after="0" w:line="240" w:lineRule="auto"/>
                        <w:jc w:val="center"/>
                      </w:pPr>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79744" behindDoc="0" locked="0" layoutInCell="1" allowOverlap="1">
                <wp:simplePos x="0" y="0"/>
                <wp:positionH relativeFrom="column">
                  <wp:posOffset>2091055</wp:posOffset>
                </wp:positionH>
                <wp:positionV relativeFrom="paragraph">
                  <wp:posOffset>306705</wp:posOffset>
                </wp:positionV>
                <wp:extent cx="819150" cy="393065"/>
                <wp:effectExtent l="4445" t="4445" r="14605" b="21590"/>
                <wp:wrapNone/>
                <wp:docPr id="36" name="AutoShape 20"/>
                <wp:cNvGraphicFramePr/>
                <a:graphic xmlns:a="http://schemas.openxmlformats.org/drawingml/2006/main">
                  <a:graphicData uri="http://schemas.microsoft.com/office/word/2010/wordprocessingShape">
                    <wps:wsp>
                      <wps:cNvSpPr/>
                      <wps:spPr>
                        <a:xfrm>
                          <a:off x="0" y="0"/>
                          <a:ext cx="819150" cy="393065"/>
                        </a:xfrm>
                        <a:prstGeom prst="roundRect">
                          <a:avLst>
                            <a:gd name="adj" fmla="val 16667"/>
                          </a:avLst>
                        </a:prstGeom>
                        <a:solidFill>
                          <a:srgbClr val="D6E3BC"/>
                        </a:solidFill>
                        <a:ln w="9525" cap="flat" cmpd="sng">
                          <a:solidFill>
                            <a:srgbClr val="000000"/>
                          </a:solidFill>
                          <a:prstDash val="solid"/>
                          <a:headEnd type="none" w="med" len="med"/>
                          <a:tailEnd type="none" w="med" len="med"/>
                        </a:ln>
                        <a:effectLst/>
                      </wps:spPr>
                      <wps:txbx>
                        <w:txbxContent>
                          <w:p>
                            <w:pPr>
                              <w:spacing w:after="0" w:line="240" w:lineRule="auto"/>
                              <w:jc w:val="center"/>
                              <w:rPr>
                                <w:sz w:val="14"/>
                                <w:szCs w:val="14"/>
                              </w:rPr>
                            </w:pPr>
                            <w:r>
                              <w:rPr>
                                <w:sz w:val="14"/>
                                <w:szCs w:val="14"/>
                              </w:rPr>
                              <w:t>Subbid Anggaran II</w:t>
                            </w:r>
                          </w:p>
                          <w:p>
                            <w:pPr>
                              <w:jc w:val="center"/>
                            </w:pPr>
                          </w:p>
                        </w:txbxContent>
                      </wps:txbx>
                      <wps:bodyPr upright="1"/>
                    </wps:wsp>
                  </a:graphicData>
                </a:graphic>
              </wp:anchor>
            </w:drawing>
          </mc:Choice>
          <mc:Fallback>
            <w:pict>
              <v:roundrect id="AutoShape 20" o:spid="_x0000_s1026" o:spt="2" style="position:absolute;left:0pt;margin-left:164.65pt;margin-top:24.15pt;height:30.95pt;width:64.5pt;z-index:251679744;mso-width-relative:page;mso-height-relative:page;" fillcolor="#D6E3BC" filled="t" stroked="t" coordsize="21600,21600" arcsize="0.166666666666667" o:gfxdata="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Y8eX3YAAAACgEAAA8A&#10;AAAAAAAAAQAgAAAAIgAAAGRycy9kb3ducmV2LnhtbFBLAQIUABQAAAAIAIdO4kBdCb3KFwIAAGIE&#10;AAAOAAAAAAAAAAEAIAAAACcBAABkcnMvZTJvRG9jLnhtbFBLBQYAAAAABgAGAFkBAACwBQAAAAA=&#10;">
                <v:fill on="t" focussize="0,0"/>
                <v:stroke color="#000000" joinstyle="round"/>
                <v:imagedata o:title=""/>
                <o:lock v:ext="edit" aspectratio="f"/>
                <v:textbox>
                  <w:txbxContent>
                    <w:p>
                      <w:pPr>
                        <w:spacing w:after="0" w:line="240" w:lineRule="auto"/>
                        <w:jc w:val="center"/>
                        <w:rPr>
                          <w:sz w:val="14"/>
                          <w:szCs w:val="14"/>
                        </w:rPr>
                      </w:pPr>
                      <w:r>
                        <w:rPr>
                          <w:sz w:val="14"/>
                          <w:szCs w:val="14"/>
                        </w:rPr>
                        <w:t>Subbid Anggaran II</w:t>
                      </w:r>
                    </w:p>
                    <w:p>
                      <w:pPr>
                        <w:jc w:val="center"/>
                      </w:pPr>
                    </w:p>
                  </w:txbxContent>
                </v:textbox>
              </v:roundrect>
            </w:pict>
          </mc:Fallback>
        </mc:AlternateContent>
      </w:r>
      <w:r>
        <w:rPr>
          <w:rFonts w:ascii="Batang" w:hAnsi="Batang" w:eastAsia="Batang" w:cs="MS Reference Sans Serif"/>
          <w:b/>
          <w:bCs/>
          <w:sz w:val="14"/>
          <w:szCs w:val="14"/>
          <w:lang w:val="id-ID" w:eastAsia="id-ID"/>
        </w:rPr>
        <mc:AlternateContent>
          <mc:Choice Requires="wps">
            <w:drawing>
              <wp:anchor distT="0" distB="0" distL="114300" distR="114300" simplePos="0" relativeHeight="251685888" behindDoc="0" locked="0" layoutInCell="1" allowOverlap="1">
                <wp:simplePos x="0" y="0"/>
                <wp:positionH relativeFrom="column">
                  <wp:posOffset>1048385</wp:posOffset>
                </wp:positionH>
                <wp:positionV relativeFrom="paragraph">
                  <wp:posOffset>272415</wp:posOffset>
                </wp:positionV>
                <wp:extent cx="819150" cy="434975"/>
                <wp:effectExtent l="4445" t="4445" r="14605" b="17780"/>
                <wp:wrapNone/>
                <wp:docPr id="42" name="AutoShape 26"/>
                <wp:cNvGraphicFramePr/>
                <a:graphic xmlns:a="http://schemas.openxmlformats.org/drawingml/2006/main">
                  <a:graphicData uri="http://schemas.microsoft.com/office/word/2010/wordprocessingShape">
                    <wps:wsp>
                      <wps:cNvSpPr/>
                      <wps:spPr>
                        <a:xfrm>
                          <a:off x="0" y="0"/>
                          <a:ext cx="819150" cy="434975"/>
                        </a:xfrm>
                        <a:prstGeom prst="roundRect">
                          <a:avLst>
                            <a:gd name="adj" fmla="val 16667"/>
                          </a:avLst>
                        </a:prstGeom>
                        <a:solidFill>
                          <a:srgbClr val="D6E3BC"/>
                        </a:solidFill>
                        <a:ln w="9525" cap="flat" cmpd="sng">
                          <a:solidFill>
                            <a:srgbClr val="000000"/>
                          </a:solidFill>
                          <a:prstDash val="solid"/>
                          <a:headEnd type="none" w="med" len="med"/>
                          <a:tailEnd type="none" w="med" len="med"/>
                        </a:ln>
                        <a:effectLst/>
                      </wps:spPr>
                      <wps:txbx>
                        <w:txbxContent>
                          <w:p>
                            <w:pPr>
                              <w:spacing w:after="0" w:line="240" w:lineRule="auto"/>
                              <w:jc w:val="center"/>
                              <w:rPr>
                                <w:lang w:val="id-ID"/>
                              </w:rPr>
                            </w:pPr>
                            <w:r>
                              <w:rPr>
                                <w:sz w:val="14"/>
                                <w:szCs w:val="14"/>
                              </w:rPr>
                              <w:t>Subbid</w:t>
                            </w:r>
                            <w:r>
                              <w:rPr>
                                <w:sz w:val="14"/>
                                <w:szCs w:val="14"/>
                                <w:lang w:val="id-ID"/>
                              </w:rPr>
                              <w:t xml:space="preserve"> Dana Perimbangan</w:t>
                            </w:r>
                          </w:p>
                        </w:txbxContent>
                      </wps:txbx>
                      <wps:bodyPr upright="1"/>
                    </wps:wsp>
                  </a:graphicData>
                </a:graphic>
              </wp:anchor>
            </w:drawing>
          </mc:Choice>
          <mc:Fallback>
            <w:pict>
              <v:roundrect id="AutoShape 26" o:spid="_x0000_s1026" o:spt="2" style="position:absolute;left:0pt;margin-left:82.55pt;margin-top:21.45pt;height:34.25pt;width:64.5pt;z-index:251685888;mso-width-relative:page;mso-height-relative:page;" fillcolor="#D6E3BC" filled="t" stroked="t" coordsize="21600,21600" arcsize="0.166666666666667" o:gfxdata="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C/aFNgAAAAKAQAA&#10;DwAAAAAAAAABACAAAAAiAAAAZHJzL2Rvd25yZXYueG1sUEsBAhQAFAAAAAgAh07iQAZz394ZAgAA&#10;YgQAAA4AAAAAAAAAAQAgAAAAJwEAAGRycy9lMm9Eb2MueG1sUEsFBgAAAAAGAAYAWQEAALIFAAAA&#10;AA==&#10;">
                <v:fill on="t" focussize="0,0"/>
                <v:stroke color="#000000" joinstyle="round"/>
                <v:imagedata o:title=""/>
                <o:lock v:ext="edit" aspectratio="f"/>
                <v:textbox>
                  <w:txbxContent>
                    <w:p>
                      <w:pPr>
                        <w:spacing w:after="0" w:line="240" w:lineRule="auto"/>
                        <w:jc w:val="center"/>
                        <w:rPr>
                          <w:lang w:val="id-ID"/>
                        </w:rPr>
                      </w:pPr>
                      <w:r>
                        <w:rPr>
                          <w:sz w:val="14"/>
                          <w:szCs w:val="14"/>
                        </w:rPr>
                        <w:t>Subbid</w:t>
                      </w:r>
                      <w:r>
                        <w:rPr>
                          <w:sz w:val="14"/>
                          <w:szCs w:val="14"/>
                          <w:lang w:val="id-ID"/>
                        </w:rPr>
                        <w:t xml:space="preserve"> Dana Perimbangan</w:t>
                      </w:r>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91008" behindDoc="0" locked="0" layoutInCell="1" allowOverlap="1">
                <wp:simplePos x="0" y="0"/>
                <wp:positionH relativeFrom="column">
                  <wp:posOffset>6350</wp:posOffset>
                </wp:positionH>
                <wp:positionV relativeFrom="paragraph">
                  <wp:posOffset>253365</wp:posOffset>
                </wp:positionV>
                <wp:extent cx="819150" cy="464820"/>
                <wp:effectExtent l="4445" t="4445" r="14605" b="6985"/>
                <wp:wrapNone/>
                <wp:docPr id="47" name="AutoShape 31"/>
                <wp:cNvGraphicFramePr/>
                <a:graphic xmlns:a="http://schemas.openxmlformats.org/drawingml/2006/main">
                  <a:graphicData uri="http://schemas.microsoft.com/office/word/2010/wordprocessingShape">
                    <wps:wsp>
                      <wps:cNvSpPr/>
                      <wps:spPr>
                        <a:xfrm>
                          <a:off x="0" y="0"/>
                          <a:ext cx="819150" cy="464820"/>
                        </a:xfrm>
                        <a:prstGeom prst="roundRect">
                          <a:avLst>
                            <a:gd name="adj" fmla="val 16667"/>
                          </a:avLst>
                        </a:prstGeom>
                        <a:solidFill>
                          <a:srgbClr val="D6E3BC"/>
                        </a:solidFill>
                        <a:ln w="9525" cap="flat" cmpd="sng">
                          <a:solidFill>
                            <a:srgbClr val="000000"/>
                          </a:solidFill>
                          <a:prstDash val="solid"/>
                          <a:headEnd type="none" w="med" len="med"/>
                          <a:tailEnd type="none" w="med" len="med"/>
                        </a:ln>
                        <a:effectLst/>
                      </wps:spPr>
                      <wps:txbx>
                        <w:txbxContent>
                          <w:p>
                            <w:pPr>
                              <w:spacing w:after="0" w:line="240" w:lineRule="auto"/>
                              <w:jc w:val="center"/>
                              <w:rPr>
                                <w:lang w:val="id-ID"/>
                              </w:rPr>
                            </w:pPr>
                            <w:r>
                              <w:rPr>
                                <w:sz w:val="14"/>
                                <w:szCs w:val="14"/>
                              </w:rPr>
                              <w:t xml:space="preserve">Subbid </w:t>
                            </w:r>
                            <w:r>
                              <w:rPr>
                                <w:sz w:val="14"/>
                                <w:szCs w:val="14"/>
                                <w:lang w:val="id-ID"/>
                              </w:rPr>
                              <w:t>Datadan PenetapanPajak</w:t>
                            </w:r>
                          </w:p>
                        </w:txbxContent>
                      </wps:txbx>
                      <wps:bodyPr upright="1"/>
                    </wps:wsp>
                  </a:graphicData>
                </a:graphic>
              </wp:anchor>
            </w:drawing>
          </mc:Choice>
          <mc:Fallback>
            <w:pict>
              <v:roundrect id="AutoShape 31" o:spid="_x0000_s1026" o:spt="2" style="position:absolute;left:0pt;margin-left:0.5pt;margin-top:19.95pt;height:36.6pt;width:64.5pt;z-index:251691008;mso-width-relative:page;mso-height-relative:page;" fillcolor="#D6E3BC" filled="t" stroked="t" coordsize="21600,21600" arcsize="0.166666666666667" o:gfxdata="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zGQ+nWAAAACAEAAA8A&#10;AAAAAAAAAQAgAAAAIgAAAGRycy9kb3ducmV2LnhtbFBLAQIUABQAAAAIAIdO4kATT8b4GQIAAGIE&#10;AAAOAAAAAAAAAAEAIAAAACUBAABkcnMvZTJvRG9jLnhtbFBLBQYAAAAABgAGAFkBAACwBQAAAAA=&#10;">
                <v:fill on="t" focussize="0,0"/>
                <v:stroke color="#000000" joinstyle="round"/>
                <v:imagedata o:title=""/>
                <o:lock v:ext="edit" aspectratio="f"/>
                <v:textbox>
                  <w:txbxContent>
                    <w:p>
                      <w:pPr>
                        <w:spacing w:after="0" w:line="240" w:lineRule="auto"/>
                        <w:jc w:val="center"/>
                        <w:rPr>
                          <w:lang w:val="id-ID"/>
                        </w:rPr>
                      </w:pPr>
                      <w:r>
                        <w:rPr>
                          <w:sz w:val="14"/>
                          <w:szCs w:val="14"/>
                        </w:rPr>
                        <w:t xml:space="preserve">Subbid </w:t>
                      </w:r>
                      <w:r>
                        <w:rPr>
                          <w:sz w:val="14"/>
                          <w:szCs w:val="14"/>
                          <w:lang w:val="id-ID"/>
                        </w:rPr>
                        <w:t>Datadan PenetapanPajak</w:t>
                      </w:r>
                    </w:p>
                  </w:txbxContent>
                </v:textbox>
              </v:roundrect>
            </w:pict>
          </mc:Fallback>
        </mc:AlternateContent>
      </w:r>
    </w:p>
    <w:p>
      <w:pPr>
        <w:rPr>
          <w:rFonts w:ascii="Batang" w:hAnsi="Batang" w:eastAsia="Batang" w:cs="MS Reference Sans Serif"/>
          <w:lang w:val="id-ID"/>
        </w:rPr>
      </w:pPr>
      <w:r>
        <w:rPr>
          <w:rFonts w:ascii="Batang" w:hAnsi="Batang" w:eastAsia="Batang" w:cs="MS Reference Sans Serif"/>
          <w:b/>
          <w:bCs/>
          <w:lang w:val="id-ID" w:eastAsia="id-ID"/>
        </w:rPr>
        <mc:AlternateContent>
          <mc:Choice Requires="wps">
            <w:drawing>
              <wp:anchor distT="0" distB="0" distL="114300" distR="114300" simplePos="0" relativeHeight="251731968" behindDoc="0" locked="0" layoutInCell="1" allowOverlap="1">
                <wp:simplePos x="0" y="0"/>
                <wp:positionH relativeFrom="column">
                  <wp:posOffset>5212715</wp:posOffset>
                </wp:positionH>
                <wp:positionV relativeFrom="paragraph">
                  <wp:posOffset>143510</wp:posOffset>
                </wp:positionV>
                <wp:extent cx="43180" cy="0"/>
                <wp:effectExtent l="0" t="0" r="0" b="0"/>
                <wp:wrapNone/>
                <wp:docPr id="88" name="AutoShape 77"/>
                <wp:cNvGraphicFramePr/>
                <a:graphic xmlns:a="http://schemas.openxmlformats.org/drawingml/2006/main">
                  <a:graphicData uri="http://schemas.microsoft.com/office/word/2010/wordprocessingShape">
                    <wps:wsp>
                      <wps:cNvCnPr/>
                      <wps:spPr>
                        <a:xfrm>
                          <a:off x="0" y="0"/>
                          <a:ext cx="4318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77" o:spid="_x0000_s1026" o:spt="32" type="#_x0000_t32" style="position:absolute;left:0pt;margin-left:410.45pt;margin-top:11.3pt;height:0pt;width:3.4pt;z-index:251731968;mso-width-relative:page;mso-height-relative:page;" filled="f" stroked="t" coordsize="21600,21600" o:gfxdata="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DMy3L1gAAAAkB&#10;AAAPAAAAAAAAAAEAIAAAACIAAABkcnMvZG93bnJldi54bWxQSwECFAAUAAAACACHTuJAnl9mkOQB&#10;AADuAwAADgAAAAAAAAABACAAAAAlAQAAZHJzL2Uyb0RvYy54bWxQSwUGAAAAAAYABgBZAQAAewUA&#10;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27872" behindDoc="0" locked="0" layoutInCell="1" allowOverlap="1">
                <wp:simplePos x="0" y="0"/>
                <wp:positionH relativeFrom="column">
                  <wp:posOffset>4234815</wp:posOffset>
                </wp:positionH>
                <wp:positionV relativeFrom="paragraph">
                  <wp:posOffset>83185</wp:posOffset>
                </wp:positionV>
                <wp:extent cx="46355" cy="0"/>
                <wp:effectExtent l="0" t="0" r="0" b="0"/>
                <wp:wrapNone/>
                <wp:docPr id="84" name="AutoShape 73"/>
                <wp:cNvGraphicFramePr/>
                <a:graphic xmlns:a="http://schemas.openxmlformats.org/drawingml/2006/main">
                  <a:graphicData uri="http://schemas.microsoft.com/office/word/2010/wordprocessingShape">
                    <wps:wsp>
                      <wps:cNvCnPr/>
                      <wps:spPr>
                        <a:xfrm>
                          <a:off x="0" y="0"/>
                          <a:ext cx="4635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73" o:spid="_x0000_s1026" o:spt="32" type="#_x0000_t32" style="position:absolute;left:0pt;margin-left:333.45pt;margin-top:6.55pt;height:0pt;width:3.65pt;z-index:251727872;mso-width-relative:page;mso-height-relative:page;" filled="f" stroked="t" coordsize="21600,21600" o:gfxdata="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UgCM1gAAAAkB&#10;AAAPAAAAAAAAAAEAIAAAACIAAABkcnMvZG93bnJldi54bWxQSwECFAAUAAAACACHTuJAgZnWjuQB&#10;AADuAwAADgAAAAAAAAABACAAAAAlAQAAZHJzL2Uyb0RvYy54bWxQSwUGAAAAAAYABgBZAQAAewUA&#10;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3154045</wp:posOffset>
                </wp:positionH>
                <wp:positionV relativeFrom="paragraph">
                  <wp:posOffset>71755</wp:posOffset>
                </wp:positionV>
                <wp:extent cx="100965" cy="635"/>
                <wp:effectExtent l="0" t="0" r="0" b="0"/>
                <wp:wrapNone/>
                <wp:docPr id="95" name="Straight Connector 95"/>
                <wp:cNvGraphicFramePr/>
                <a:graphic xmlns:a="http://schemas.openxmlformats.org/drawingml/2006/main">
                  <a:graphicData uri="http://schemas.microsoft.com/office/word/2010/wordprocessingShape">
                    <wps:wsp>
                      <wps:cNvCnPr/>
                      <wps:spPr>
                        <a:xfrm flipV="1">
                          <a:off x="4264660" y="4894580"/>
                          <a:ext cx="100965" cy="63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248.35pt;margin-top:5.65pt;height:0.05pt;width:7.95pt;z-index:251736064;mso-width-relative:page;mso-height-relative:page;" filled="f" stroked="t" coordsize="21600,21600" o:gfxdata="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ZI84d1wAAAAkBAAAPAAAAAAAAAAEAIAAAACIAAABkcnMvZG93bnJldi54&#10;bWxQSwECFAAUAAAACACHTuJAHRuL6fsBAAD9AwAADgAAAAAAAAABACAAAAAmAQAAZHJzL2Uyb0Rv&#10;Yy54bWxQSwUGAAAAAAYABgBZAQAAkwUAAAAA&#10;">
                <v:fill on="f" focussize="0,0"/>
                <v:stroke color="#000000" joinstyle="round"/>
                <v:imagedata o:title=""/>
                <o:lock v:ext="edit" aspectratio="f"/>
              </v:lin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14560" behindDoc="0" locked="0" layoutInCell="1" allowOverlap="1">
                <wp:simplePos x="0" y="0"/>
                <wp:positionH relativeFrom="column">
                  <wp:posOffset>-91440</wp:posOffset>
                </wp:positionH>
                <wp:positionV relativeFrom="paragraph">
                  <wp:posOffset>117475</wp:posOffset>
                </wp:positionV>
                <wp:extent cx="78105" cy="0"/>
                <wp:effectExtent l="0" t="0" r="0" b="0"/>
                <wp:wrapNone/>
                <wp:docPr id="71" name="AutoShape 57"/>
                <wp:cNvGraphicFramePr/>
                <a:graphic xmlns:a="http://schemas.openxmlformats.org/drawingml/2006/main">
                  <a:graphicData uri="http://schemas.microsoft.com/office/word/2010/wordprocessingShape">
                    <wps:wsp>
                      <wps:cNvCnPr/>
                      <wps:spPr>
                        <a:xfrm>
                          <a:off x="0" y="0"/>
                          <a:ext cx="7810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57" o:spid="_x0000_s1026" o:spt="32" type="#_x0000_t32" style="position:absolute;left:0pt;margin-left:-7.2pt;margin-top:9.25pt;height:0pt;width:6.15pt;z-index:251714560;mso-width-relative:page;mso-height-relative:page;" filled="f" stroked="t" coordsize="21600,21600" o:gfxdata="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j7kXtUAAAAIAQAA&#10;DwAAAAAAAAABACAAAAAiAAAAZHJzL2Rvd25yZXYueG1sUEsBAhQAFAAAAAgAh07iQMjxH0vjAQAA&#10;7gMAAA4AAAAAAAAAAQAgAAAAJAEAAGRycy9lMm9Eb2MueG1sUEsFBgAAAAAGAAYAWQEAAHkFAAAA&#10;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17632" behindDoc="0" locked="0" layoutInCell="1" allowOverlap="1">
                <wp:simplePos x="0" y="0"/>
                <wp:positionH relativeFrom="column">
                  <wp:posOffset>954405</wp:posOffset>
                </wp:positionH>
                <wp:positionV relativeFrom="paragraph">
                  <wp:posOffset>81915</wp:posOffset>
                </wp:positionV>
                <wp:extent cx="74295" cy="0"/>
                <wp:effectExtent l="0" t="0" r="0" b="0"/>
                <wp:wrapNone/>
                <wp:docPr id="74" name="AutoShape 61"/>
                <wp:cNvGraphicFramePr/>
                <a:graphic xmlns:a="http://schemas.openxmlformats.org/drawingml/2006/main">
                  <a:graphicData uri="http://schemas.microsoft.com/office/word/2010/wordprocessingShape">
                    <wps:wsp>
                      <wps:cNvCnPr/>
                      <wps:spPr>
                        <a:xfrm>
                          <a:off x="0" y="0"/>
                          <a:ext cx="7429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61" o:spid="_x0000_s1026" o:spt="32" type="#_x0000_t32" style="position:absolute;left:0pt;margin-left:75.15pt;margin-top:6.45pt;height:0pt;width:5.85pt;z-index:251717632;mso-width-relative:page;mso-height-relative:page;" filled="f" stroked="t" coordsize="21600,21600" o:gfxdata="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bSKX61gAAAAkB&#10;AAAPAAAAAAAAAAEAIAAAACIAAABkcnMvZG93bnJldi54bWxQSwECFAAUAAAACACHTuJAW9lrgOQB&#10;AADuAwAADgAAAAAAAAABACAAAAAlAQAAZHJzL2Uyb0RvYy54bWxQSwUGAAAAAAYABgBZAQAAewUA&#10;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21728" behindDoc="0" locked="0" layoutInCell="1" allowOverlap="1">
                <wp:simplePos x="0" y="0"/>
                <wp:positionH relativeFrom="column">
                  <wp:posOffset>1983740</wp:posOffset>
                </wp:positionH>
                <wp:positionV relativeFrom="paragraph">
                  <wp:posOffset>100965</wp:posOffset>
                </wp:positionV>
                <wp:extent cx="89535" cy="0"/>
                <wp:effectExtent l="0" t="0" r="0" b="0"/>
                <wp:wrapNone/>
                <wp:docPr id="78" name="AutoShape 65"/>
                <wp:cNvGraphicFramePr/>
                <a:graphic xmlns:a="http://schemas.openxmlformats.org/drawingml/2006/main">
                  <a:graphicData uri="http://schemas.microsoft.com/office/word/2010/wordprocessingShape">
                    <wps:wsp>
                      <wps:cNvCnPr/>
                      <wps:spPr>
                        <a:xfrm>
                          <a:off x="0" y="0"/>
                          <a:ext cx="8953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65" o:spid="_x0000_s1026" o:spt="32" type="#_x0000_t32" style="position:absolute;left:0pt;margin-left:156.2pt;margin-top:7.95pt;height:0pt;width:7.05pt;z-index:251721728;mso-width-relative:page;mso-height-relative:page;" filled="f" stroked="t" coordsize="21600,21600" o:gfxdata="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iZGtdcAAAAJ&#10;AQAADwAAAAAAAAABACAAAAAiAAAAZHJzL2Rvd25yZXYueG1sUEsBAhQAFAAAAAgAh07iQGakQfHk&#10;AQAA7gMAAA4AAAAAAAAAAQAgAAAAJgEAAGRycy9lMm9Eb2MueG1sUEsFBgAAAAAGAAYAWQEAAHwF&#10;AAAAAA==&#10;">
                <v:fill on="f" focussize="0,0"/>
                <v:stroke color="#000000" joinstyle="round"/>
                <v:imagedata o:title=""/>
                <o:lock v:ext="edit" aspectratio="f"/>
              </v:shape>
            </w:pict>
          </mc:Fallback>
        </mc:AlternateContent>
      </w:r>
    </w:p>
    <w:p>
      <w:pPr>
        <w:rPr>
          <w:rFonts w:ascii="Batang" w:hAnsi="Batang" w:eastAsia="Batang" w:cs="MS Reference Sans Serif"/>
          <w:lang w:val="id-ID"/>
        </w:rPr>
      </w:pPr>
      <w:r>
        <w:rPr>
          <w:rFonts w:ascii="Batang" w:hAnsi="Batang" w:eastAsia="Batang" w:cs="MS Reference Sans Serif"/>
          <w:b/>
          <w:bCs/>
          <w:lang w:val="id-ID" w:eastAsia="id-ID"/>
        </w:rPr>
        <mc:AlternateContent>
          <mc:Choice Requires="wps">
            <w:drawing>
              <wp:anchor distT="0" distB="0" distL="114300" distR="114300" simplePos="0" relativeHeight="251739136" behindDoc="0" locked="0" layoutInCell="1" allowOverlap="1">
                <wp:simplePos x="0" y="0"/>
                <wp:positionH relativeFrom="column">
                  <wp:posOffset>5235575</wp:posOffset>
                </wp:positionH>
                <wp:positionV relativeFrom="paragraph">
                  <wp:posOffset>248920</wp:posOffset>
                </wp:positionV>
                <wp:extent cx="43180" cy="0"/>
                <wp:effectExtent l="0" t="0" r="0" b="0"/>
                <wp:wrapNone/>
                <wp:docPr id="102" name="AutoShape 77"/>
                <wp:cNvGraphicFramePr/>
                <a:graphic xmlns:a="http://schemas.openxmlformats.org/drawingml/2006/main">
                  <a:graphicData uri="http://schemas.microsoft.com/office/word/2010/wordprocessingShape">
                    <wps:wsp>
                      <wps:cNvCnPr/>
                      <wps:spPr>
                        <a:xfrm>
                          <a:off x="0" y="0"/>
                          <a:ext cx="4318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77" o:spid="_x0000_s1026" o:spt="32" type="#_x0000_t32" style="position:absolute;left:0pt;margin-left:412.25pt;margin-top:19.6pt;height:0pt;width:3.4pt;z-index:251739136;mso-width-relative:page;mso-height-relative:page;" filled="f" stroked="t" coordsize="21600,21600" o:gfxdata="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kiU3rXAAAA&#10;CQEAAA8AAAAAAAAAAQAgAAAAIgAAAGRycy9kb3ducmV2LnhtbFBLAQIUABQAAAAIAIdO4kCXFbKS&#10;5QEAAO8DAAAOAAAAAAAAAAEAIAAAACYBAABkcnMvZTJvRG9jLnhtbFBLBQYAAAAABgAGAFkBAAB9&#10;BQA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68480" behindDoc="0" locked="0" layoutInCell="1" allowOverlap="1">
                <wp:simplePos x="0" y="0"/>
                <wp:positionH relativeFrom="column">
                  <wp:posOffset>5306060</wp:posOffset>
                </wp:positionH>
                <wp:positionV relativeFrom="paragraph">
                  <wp:posOffset>78105</wp:posOffset>
                </wp:positionV>
                <wp:extent cx="808990" cy="376555"/>
                <wp:effectExtent l="4445" t="4445" r="5715" b="19050"/>
                <wp:wrapNone/>
                <wp:docPr id="25" name="AutoShape 9"/>
                <wp:cNvGraphicFramePr/>
                <a:graphic xmlns:a="http://schemas.openxmlformats.org/drawingml/2006/main">
                  <a:graphicData uri="http://schemas.microsoft.com/office/word/2010/wordprocessingShape">
                    <wps:wsp>
                      <wps:cNvSpPr/>
                      <wps:spPr>
                        <a:xfrm>
                          <a:off x="0" y="0"/>
                          <a:ext cx="808990" cy="376555"/>
                        </a:xfrm>
                        <a:prstGeom prst="roundRect">
                          <a:avLst>
                            <a:gd name="adj" fmla="val 16667"/>
                          </a:avLst>
                        </a:prstGeom>
                        <a:solidFill>
                          <a:srgbClr val="D6E3BC"/>
                        </a:solidFill>
                        <a:ln w="9525" cap="flat" cmpd="sng">
                          <a:solidFill>
                            <a:srgbClr val="000000"/>
                          </a:solidFill>
                          <a:prstDash val="solid"/>
                          <a:headEnd type="none" w="med" len="med"/>
                          <a:tailEnd type="none" w="med" len="med"/>
                        </a:ln>
                        <a:effectLst/>
                      </wps:spPr>
                      <wps:txbx>
                        <w:txbxContent>
                          <w:p>
                            <w:pPr>
                              <w:spacing w:after="0" w:line="240" w:lineRule="auto"/>
                              <w:jc w:val="center"/>
                              <w:rPr>
                                <w:sz w:val="14"/>
                                <w:szCs w:val="14"/>
                                <w:lang w:val="id-ID"/>
                              </w:rPr>
                            </w:pPr>
                            <w:r>
                              <w:rPr>
                                <w:sz w:val="14"/>
                                <w:szCs w:val="14"/>
                              </w:rPr>
                              <w:t xml:space="preserve">Subbid </w:t>
                            </w:r>
                            <w:r>
                              <w:rPr>
                                <w:sz w:val="14"/>
                                <w:szCs w:val="14"/>
                                <w:lang w:val="id-ID"/>
                              </w:rPr>
                              <w:t>Pengeluaran</w:t>
                            </w:r>
                          </w:p>
                        </w:txbxContent>
                      </wps:txbx>
                      <wps:bodyPr upright="1"/>
                    </wps:wsp>
                  </a:graphicData>
                </a:graphic>
              </wp:anchor>
            </w:drawing>
          </mc:Choice>
          <mc:Fallback>
            <w:pict>
              <v:roundrect id="AutoShape 9" o:spid="_x0000_s1026" o:spt="2" style="position:absolute;left:0pt;margin-left:417.8pt;margin-top:6.15pt;height:29.65pt;width:63.7pt;z-index:251668480;mso-width-relative:page;mso-height-relative:page;" fillcolor="#D6E3BC" filled="t" stroked="t" coordsize="21600,21600" arcsize="0.166666666666667" o:gfxdata="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dImIDYAAAACQEAAA8A&#10;AAAAAAAAAQAgAAAAIgAAAGRycy9kb3ducmV2LnhtbFBLAQIUABQAAAAIAIdO4kAD3euWFwIAAGEE&#10;AAAOAAAAAAAAAAEAIAAAACcBAABkcnMvZTJvRG9jLnhtbFBLBQYAAAAABgAGAFkBAACwBQAAAAA=&#10;">
                <v:fill on="t" focussize="0,0"/>
                <v:stroke color="#000000" joinstyle="round"/>
                <v:imagedata o:title=""/>
                <o:lock v:ext="edit" aspectratio="f"/>
                <v:textbox>
                  <w:txbxContent>
                    <w:p>
                      <w:pPr>
                        <w:spacing w:after="0" w:line="240" w:lineRule="auto"/>
                        <w:jc w:val="center"/>
                        <w:rPr>
                          <w:sz w:val="14"/>
                          <w:szCs w:val="14"/>
                          <w:lang w:val="id-ID"/>
                        </w:rPr>
                      </w:pPr>
                      <w:r>
                        <w:rPr>
                          <w:sz w:val="14"/>
                          <w:szCs w:val="14"/>
                        </w:rPr>
                        <w:t xml:space="preserve">Subbid </w:t>
                      </w:r>
                      <w:r>
                        <w:rPr>
                          <w:sz w:val="14"/>
                          <w:szCs w:val="14"/>
                          <w:lang w:val="id-ID"/>
                        </w:rPr>
                        <w:t>Pengeluaran</w:t>
                      </w:r>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28896" behindDoc="0" locked="0" layoutInCell="1" allowOverlap="1">
                <wp:simplePos x="0" y="0"/>
                <wp:positionH relativeFrom="column">
                  <wp:posOffset>4216400</wp:posOffset>
                </wp:positionH>
                <wp:positionV relativeFrom="paragraph">
                  <wp:posOffset>261620</wp:posOffset>
                </wp:positionV>
                <wp:extent cx="89535" cy="0"/>
                <wp:effectExtent l="0" t="0" r="0" b="0"/>
                <wp:wrapNone/>
                <wp:docPr id="85" name="AutoShape 74"/>
                <wp:cNvGraphicFramePr/>
                <a:graphic xmlns:a="http://schemas.openxmlformats.org/drawingml/2006/main">
                  <a:graphicData uri="http://schemas.microsoft.com/office/word/2010/wordprocessingShape">
                    <wps:wsp>
                      <wps:cNvCnPr/>
                      <wps:spPr>
                        <a:xfrm>
                          <a:off x="0" y="0"/>
                          <a:ext cx="8953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74" o:spid="_x0000_s1026" o:spt="32" type="#_x0000_t32" style="position:absolute;left:0pt;margin-left:332pt;margin-top:20.6pt;height:0pt;width:7.05pt;z-index:251728896;mso-width-relative:page;mso-height-relative:page;" filled="f" stroked="t" coordsize="21600,21600" o:gfxdata="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U7FuE1wAAAAkB&#10;AAAPAAAAAAAAAAEAIAAAACIAAABkcnMvZG93bnJldi54bWxQSwECFAAUAAAACACHTuJAjqn77OMB&#10;AADuAwAADgAAAAAAAAABACAAAAAmAQAAZHJzL2Uyb0RvYy54bWxQSwUGAAAAAAYABgBZAQAAewUA&#10;A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65408" behindDoc="0" locked="0" layoutInCell="1" allowOverlap="1">
                <wp:simplePos x="0" y="0"/>
                <wp:positionH relativeFrom="column">
                  <wp:posOffset>4304030</wp:posOffset>
                </wp:positionH>
                <wp:positionV relativeFrom="paragraph">
                  <wp:posOffset>53340</wp:posOffset>
                </wp:positionV>
                <wp:extent cx="819150" cy="389255"/>
                <wp:effectExtent l="5080" t="4445" r="13970" b="6350"/>
                <wp:wrapNone/>
                <wp:docPr id="22" name="AutoShape 6"/>
                <wp:cNvGraphicFramePr/>
                <a:graphic xmlns:a="http://schemas.openxmlformats.org/drawingml/2006/main">
                  <a:graphicData uri="http://schemas.microsoft.com/office/word/2010/wordprocessingShape">
                    <wps:wsp>
                      <wps:cNvSpPr/>
                      <wps:spPr>
                        <a:xfrm>
                          <a:off x="0" y="0"/>
                          <a:ext cx="819150" cy="389255"/>
                        </a:xfrm>
                        <a:prstGeom prst="roundRect">
                          <a:avLst>
                            <a:gd name="adj" fmla="val 16667"/>
                          </a:avLst>
                        </a:prstGeom>
                        <a:solidFill>
                          <a:srgbClr val="D6E3BC"/>
                        </a:solidFill>
                        <a:ln w="9525" cap="flat" cmpd="sng">
                          <a:solidFill>
                            <a:srgbClr val="000000"/>
                          </a:solidFill>
                          <a:prstDash val="solid"/>
                          <a:headEnd type="none" w="med" len="med"/>
                          <a:tailEnd type="none" w="med" len="med"/>
                        </a:ln>
                        <a:effectLst/>
                      </wps:spPr>
                      <wps:txbx>
                        <w:txbxContent>
                          <w:p>
                            <w:pPr>
                              <w:spacing w:after="0" w:line="240" w:lineRule="auto"/>
                              <w:jc w:val="center"/>
                              <w:rPr>
                                <w:sz w:val="14"/>
                                <w:szCs w:val="14"/>
                                <w:lang w:val="id-ID"/>
                              </w:rPr>
                            </w:pPr>
                            <w:r>
                              <w:rPr>
                                <w:sz w:val="14"/>
                                <w:szCs w:val="14"/>
                              </w:rPr>
                              <w:t xml:space="preserve">Subbid Bina </w:t>
                            </w:r>
                            <w:r>
                              <w:rPr>
                                <w:sz w:val="14"/>
                                <w:szCs w:val="14"/>
                                <w:lang w:val="id-ID"/>
                              </w:rPr>
                              <w:t>Wilayah III</w:t>
                            </w:r>
                          </w:p>
                        </w:txbxContent>
                      </wps:txbx>
                      <wps:bodyPr upright="1"/>
                    </wps:wsp>
                  </a:graphicData>
                </a:graphic>
              </wp:anchor>
            </w:drawing>
          </mc:Choice>
          <mc:Fallback>
            <w:pict>
              <v:roundrect id="AutoShape 6" o:spid="_x0000_s1026" o:spt="2" style="position:absolute;left:0pt;margin-left:338.9pt;margin-top:4.2pt;height:30.65pt;width:64.5pt;z-index:251665408;mso-width-relative:page;mso-height-relative:page;" fillcolor="#D6E3BC" filled="t" stroked="t" coordsize="21600,21600" arcsize="0.166666666666667" o:gfxdata="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2P5QPVAAAACAEAAA8AAAAA&#10;AAAAAQAgAAAAIgAAAGRycy9kb3ducmV2LnhtbFBLAQIUABQAAAAIAIdO4kBqR681FwIAAGEEAAAO&#10;AAAAAAAAAAEAIAAAACQBAABkcnMvZTJvRG9jLnhtbFBLBQYAAAAABgAGAFkBAACtBQAAAAA=&#10;">
                <v:fill on="t" focussize="0,0"/>
                <v:stroke color="#000000" joinstyle="round"/>
                <v:imagedata o:title=""/>
                <o:lock v:ext="edit" aspectratio="f"/>
                <v:textbox>
                  <w:txbxContent>
                    <w:p>
                      <w:pPr>
                        <w:spacing w:after="0" w:line="240" w:lineRule="auto"/>
                        <w:jc w:val="center"/>
                        <w:rPr>
                          <w:sz w:val="14"/>
                          <w:szCs w:val="14"/>
                          <w:lang w:val="id-ID"/>
                        </w:rPr>
                      </w:pPr>
                      <w:r>
                        <w:rPr>
                          <w:sz w:val="14"/>
                          <w:szCs w:val="14"/>
                        </w:rPr>
                        <w:t xml:space="preserve">Subbid Bina </w:t>
                      </w:r>
                      <w:r>
                        <w:rPr>
                          <w:sz w:val="14"/>
                          <w:szCs w:val="14"/>
                          <w:lang w:val="id-ID"/>
                        </w:rPr>
                        <w:t>Wilayah III</w:t>
                      </w:r>
                    </w:p>
                  </w:txbxContent>
                </v:textbox>
              </v:roundrect>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3161665</wp:posOffset>
                </wp:positionH>
                <wp:positionV relativeFrom="paragraph">
                  <wp:posOffset>283210</wp:posOffset>
                </wp:positionV>
                <wp:extent cx="122555" cy="5715"/>
                <wp:effectExtent l="0" t="0" r="0" b="0"/>
                <wp:wrapNone/>
                <wp:docPr id="96" name="Straight Connector 96"/>
                <wp:cNvGraphicFramePr/>
                <a:graphic xmlns:a="http://schemas.openxmlformats.org/drawingml/2006/main">
                  <a:graphicData uri="http://schemas.microsoft.com/office/word/2010/wordprocessingShape">
                    <wps:wsp>
                      <wps:cNvCnPr/>
                      <wps:spPr>
                        <a:xfrm>
                          <a:off x="4257040" y="5495925"/>
                          <a:ext cx="122555" cy="571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248.95pt;margin-top:22.3pt;height:0.45pt;width:9.65pt;z-index:251737088;mso-width-relative:page;mso-height-relative:page;" filled="f" stroked="t" coordsize="21600,21600" o:gfxdata="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ajq89gAAAAJAQAADwAAAAAAAAABACAAAAAiAAAAZHJzL2Rvd25yZXYueG1sUEsB&#10;AhQAFAAAAAgAh07iQAIcyKX1AQAA9AMAAA4AAAAAAAAAAQAgAAAAJwEAAGRycy9lMm9Eb2MueG1s&#10;UEsFBgAAAAAGAAYAWQEAAI4FAAAAAA==&#10;">
                <v:fill on="f" focussize="0,0"/>
                <v:stroke color="#000000" joinstyle="round"/>
                <v:imagedata o:title=""/>
                <o:lock v:ext="edit" aspectratio="f"/>
              </v:lin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62336" behindDoc="0" locked="0" layoutInCell="1" allowOverlap="1">
                <wp:simplePos x="0" y="0"/>
                <wp:positionH relativeFrom="column">
                  <wp:posOffset>3299460</wp:posOffset>
                </wp:positionH>
                <wp:positionV relativeFrom="paragraph">
                  <wp:posOffset>78740</wp:posOffset>
                </wp:positionV>
                <wp:extent cx="819150" cy="389255"/>
                <wp:effectExtent l="5080" t="4445" r="13970" b="6350"/>
                <wp:wrapNone/>
                <wp:docPr id="18" name="AutoShape 3"/>
                <wp:cNvGraphicFramePr/>
                <a:graphic xmlns:a="http://schemas.openxmlformats.org/drawingml/2006/main">
                  <a:graphicData uri="http://schemas.microsoft.com/office/word/2010/wordprocessingShape">
                    <wps:wsp>
                      <wps:cNvSpPr/>
                      <wps:spPr>
                        <a:xfrm>
                          <a:off x="0" y="0"/>
                          <a:ext cx="819150" cy="389255"/>
                        </a:xfrm>
                        <a:prstGeom prst="roundRect">
                          <a:avLst>
                            <a:gd name="adj" fmla="val 16667"/>
                          </a:avLst>
                        </a:prstGeom>
                        <a:solidFill>
                          <a:srgbClr val="D6E3BC"/>
                        </a:solidFill>
                        <a:ln w="9525" cap="flat" cmpd="sng">
                          <a:solidFill>
                            <a:srgbClr val="000000"/>
                          </a:solidFill>
                          <a:prstDash val="solid"/>
                          <a:headEnd type="none" w="med" len="med"/>
                          <a:tailEnd type="none" w="med" len="med"/>
                        </a:ln>
                        <a:effectLst/>
                      </wps:spPr>
                      <wps:txbx>
                        <w:txbxContent>
                          <w:p>
                            <w:pPr>
                              <w:spacing w:after="0" w:line="240" w:lineRule="auto"/>
                              <w:jc w:val="center"/>
                              <w:rPr>
                                <w:sz w:val="14"/>
                                <w:szCs w:val="14"/>
                              </w:rPr>
                            </w:pPr>
                            <w:r>
                              <w:rPr>
                                <w:sz w:val="14"/>
                                <w:szCs w:val="14"/>
                              </w:rPr>
                              <w:t>Subbid Akuntansi III</w:t>
                            </w:r>
                          </w:p>
                          <w:p/>
                        </w:txbxContent>
                      </wps:txbx>
                      <wps:bodyPr upright="1"/>
                    </wps:wsp>
                  </a:graphicData>
                </a:graphic>
              </wp:anchor>
            </w:drawing>
          </mc:Choice>
          <mc:Fallback>
            <w:pict>
              <v:roundrect id="AutoShape 3" o:spid="_x0000_s1026" o:spt="2" style="position:absolute;left:0pt;margin-left:259.8pt;margin-top:6.2pt;height:30.65pt;width:64.5pt;z-index:251662336;mso-width-relative:page;mso-height-relative:page;" fillcolor="#D6E3BC" filled="t" stroked="t" coordsize="21600,21600" arcsize="0.166666666666667" o:gfxdata="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uQD9PYAAAACQEAAA8A&#10;AAAAAAAAAQAgAAAAIgAAAGRycy9kb3ducmV2LnhtbFBLAQIUABQAAAAIAIdO4kDUsymaFwIAAGEE&#10;AAAOAAAAAAAAAAEAIAAAACcBAABkcnMvZTJvRG9jLnhtbFBLBQYAAAAABgAGAFkBAACwBQAAAAA=&#10;">
                <v:fill on="t" focussize="0,0"/>
                <v:stroke color="#000000" joinstyle="round"/>
                <v:imagedata o:title=""/>
                <o:lock v:ext="edit" aspectratio="f"/>
                <v:textbox>
                  <w:txbxContent>
                    <w:p>
                      <w:pPr>
                        <w:spacing w:after="0" w:line="240" w:lineRule="auto"/>
                        <w:jc w:val="center"/>
                        <w:rPr>
                          <w:sz w:val="14"/>
                          <w:szCs w:val="14"/>
                        </w:rPr>
                      </w:pPr>
                      <w:r>
                        <w:rPr>
                          <w:sz w:val="14"/>
                          <w:szCs w:val="14"/>
                        </w:rPr>
                        <w:t>Subbid Akuntansi III</w:t>
                      </w:r>
                    </w:p>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22752" behindDoc="0" locked="0" layoutInCell="1" allowOverlap="1">
                <wp:simplePos x="0" y="0"/>
                <wp:positionH relativeFrom="column">
                  <wp:posOffset>1983740</wp:posOffset>
                </wp:positionH>
                <wp:positionV relativeFrom="paragraph">
                  <wp:posOffset>328930</wp:posOffset>
                </wp:positionV>
                <wp:extent cx="89535" cy="0"/>
                <wp:effectExtent l="0" t="0" r="0" b="0"/>
                <wp:wrapNone/>
                <wp:docPr id="79" name="AutoShape 66"/>
                <wp:cNvGraphicFramePr/>
                <a:graphic xmlns:a="http://schemas.openxmlformats.org/drawingml/2006/main">
                  <a:graphicData uri="http://schemas.microsoft.com/office/word/2010/wordprocessingShape">
                    <wps:wsp>
                      <wps:cNvCnPr/>
                      <wps:spPr>
                        <a:xfrm>
                          <a:off x="0" y="0"/>
                          <a:ext cx="8953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66" o:spid="_x0000_s1026" o:spt="32" type="#_x0000_t32" style="position:absolute;left:0pt;margin-left:156.2pt;margin-top:25.9pt;height:0pt;width:7.05pt;z-index:251722752;mso-width-relative:page;mso-height-relative:page;" filled="f" stroked="t" coordsize="21600,21600" o:gfxdata="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02I57WAAAACQEA&#10;AA8AAAAAAAAAAQAgAAAAIgAAAGRycy9kb3ducmV2LnhtbFBLAQIUABQAAAAIAIdO4kCsa2t/4wEA&#10;AO4DAAAOAAAAAAAAAAEAIAAAACUBAABkcnMvZTJvRG9jLnhtbFBLBQYAAAAABgAGAFkBAAB6BQAA&#10;AAA=&#10;">
                <v:fill on="f" focussize="0,0"/>
                <v:stroke color="#000000" joinstyle="round"/>
                <v:imagedata o:title=""/>
                <o:lock v:ext="edit" aspectratio="f"/>
              </v:shape>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87936" behindDoc="0" locked="0" layoutInCell="1" allowOverlap="1">
                <wp:simplePos x="0" y="0"/>
                <wp:positionH relativeFrom="column">
                  <wp:posOffset>2082165</wp:posOffset>
                </wp:positionH>
                <wp:positionV relativeFrom="paragraph">
                  <wp:posOffset>126365</wp:posOffset>
                </wp:positionV>
                <wp:extent cx="819150" cy="366395"/>
                <wp:effectExtent l="4445" t="4445" r="14605" b="10160"/>
                <wp:wrapNone/>
                <wp:docPr id="44" name="AutoShape 28"/>
                <wp:cNvGraphicFramePr/>
                <a:graphic xmlns:a="http://schemas.openxmlformats.org/drawingml/2006/main">
                  <a:graphicData uri="http://schemas.microsoft.com/office/word/2010/wordprocessingShape">
                    <wps:wsp>
                      <wps:cNvSpPr/>
                      <wps:spPr>
                        <a:xfrm>
                          <a:off x="0" y="0"/>
                          <a:ext cx="819150" cy="366395"/>
                        </a:xfrm>
                        <a:prstGeom prst="roundRect">
                          <a:avLst>
                            <a:gd name="adj" fmla="val 16667"/>
                          </a:avLst>
                        </a:prstGeom>
                        <a:solidFill>
                          <a:srgbClr val="D6E3BC"/>
                        </a:solidFill>
                        <a:ln w="9525" cap="flat" cmpd="sng">
                          <a:solidFill>
                            <a:srgbClr val="000000"/>
                          </a:solidFill>
                          <a:prstDash val="solid"/>
                          <a:headEnd type="none" w="med" len="med"/>
                          <a:tailEnd type="none" w="med" len="med"/>
                        </a:ln>
                        <a:effectLst/>
                      </wps:spPr>
                      <wps:txbx>
                        <w:txbxContent>
                          <w:p>
                            <w:pPr>
                              <w:spacing w:after="0" w:line="240" w:lineRule="auto"/>
                              <w:jc w:val="center"/>
                              <w:rPr>
                                <w:sz w:val="14"/>
                                <w:szCs w:val="14"/>
                              </w:rPr>
                            </w:pPr>
                            <w:r>
                              <w:rPr>
                                <w:sz w:val="14"/>
                                <w:szCs w:val="14"/>
                              </w:rPr>
                              <w:t>Subbid Anggaran III</w:t>
                            </w:r>
                          </w:p>
                          <w:p>
                            <w:pPr>
                              <w:jc w:val="center"/>
                            </w:pPr>
                          </w:p>
                        </w:txbxContent>
                      </wps:txbx>
                      <wps:bodyPr upright="1"/>
                    </wps:wsp>
                  </a:graphicData>
                </a:graphic>
              </wp:anchor>
            </w:drawing>
          </mc:Choice>
          <mc:Fallback>
            <w:pict>
              <v:roundrect id="AutoShape 28" o:spid="_x0000_s1026" o:spt="2" style="position:absolute;left:0pt;margin-left:163.95pt;margin-top:9.95pt;height:28.85pt;width:64.5pt;z-index:251687936;mso-width-relative:page;mso-height-relative:page;" fillcolor="#D6E3BC" filled="t" stroked="t" coordsize="21600,21600" arcsize="0.166666666666667" o:gfxdata="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5sYAHZAAAACQEA&#10;AA8AAAAAAAAAAQAgAAAAIgAAAGRycy9kb3ducmV2LnhtbFBLAQIUABQAAAAIAIdO4kAsthAGGQIA&#10;AGIEAAAOAAAAAAAAAAEAIAAAACgBAABkcnMvZTJvRG9jLnhtbFBLBQYAAAAABgAGAFkBAACzBQAA&#10;AAA=&#10;">
                <v:fill on="t" focussize="0,0"/>
                <v:stroke color="#000000" joinstyle="round"/>
                <v:imagedata o:title=""/>
                <o:lock v:ext="edit" aspectratio="f"/>
                <v:textbox>
                  <w:txbxContent>
                    <w:p>
                      <w:pPr>
                        <w:spacing w:after="0" w:line="240" w:lineRule="auto"/>
                        <w:jc w:val="center"/>
                        <w:rPr>
                          <w:sz w:val="14"/>
                          <w:szCs w:val="14"/>
                        </w:rPr>
                      </w:pPr>
                      <w:r>
                        <w:rPr>
                          <w:sz w:val="14"/>
                          <w:szCs w:val="14"/>
                        </w:rPr>
                        <w:t>Subbid Anggaran III</w:t>
                      </w:r>
                    </w:p>
                    <w:p>
                      <w:pPr>
                        <w:jc w:val="center"/>
                      </w:pPr>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84864" behindDoc="0" locked="0" layoutInCell="1" allowOverlap="1">
                <wp:simplePos x="0" y="0"/>
                <wp:positionH relativeFrom="column">
                  <wp:posOffset>1029970</wp:posOffset>
                </wp:positionH>
                <wp:positionV relativeFrom="paragraph">
                  <wp:posOffset>92710</wp:posOffset>
                </wp:positionV>
                <wp:extent cx="819150" cy="514985"/>
                <wp:effectExtent l="4445" t="4445" r="14605" b="13970"/>
                <wp:wrapNone/>
                <wp:docPr id="41" name="AutoShape 25"/>
                <wp:cNvGraphicFramePr/>
                <a:graphic xmlns:a="http://schemas.openxmlformats.org/drawingml/2006/main">
                  <a:graphicData uri="http://schemas.microsoft.com/office/word/2010/wordprocessingShape">
                    <wps:wsp>
                      <wps:cNvSpPr/>
                      <wps:spPr>
                        <a:xfrm>
                          <a:off x="0" y="0"/>
                          <a:ext cx="819150" cy="514985"/>
                        </a:xfrm>
                        <a:prstGeom prst="roundRect">
                          <a:avLst>
                            <a:gd name="adj" fmla="val 16667"/>
                          </a:avLst>
                        </a:prstGeom>
                        <a:solidFill>
                          <a:srgbClr val="D6E3BC"/>
                        </a:solidFill>
                        <a:ln w="9525" cap="flat" cmpd="sng">
                          <a:solidFill>
                            <a:srgbClr val="000000"/>
                          </a:solidFill>
                          <a:prstDash val="solid"/>
                          <a:headEnd type="none" w="med" len="med"/>
                          <a:tailEnd type="none" w="med" len="med"/>
                        </a:ln>
                        <a:effectLst/>
                      </wps:spPr>
                      <wps:txbx>
                        <w:txbxContent>
                          <w:p>
                            <w:pPr>
                              <w:spacing w:after="0" w:line="240" w:lineRule="auto"/>
                              <w:jc w:val="center"/>
                              <w:rPr>
                                <w:sz w:val="14"/>
                                <w:szCs w:val="14"/>
                                <w:lang w:val="id-ID"/>
                              </w:rPr>
                            </w:pPr>
                            <w:r>
                              <w:rPr>
                                <w:sz w:val="14"/>
                                <w:szCs w:val="14"/>
                              </w:rPr>
                              <w:t xml:space="preserve">Subbid </w:t>
                            </w:r>
                            <w:r>
                              <w:rPr>
                                <w:sz w:val="14"/>
                                <w:szCs w:val="14"/>
                                <w:lang w:val="id-ID"/>
                              </w:rPr>
                              <w:t>Hukum dan Perundang-Undangan</w:t>
                            </w:r>
                          </w:p>
                        </w:txbxContent>
                      </wps:txbx>
                      <wps:bodyPr upright="1"/>
                    </wps:wsp>
                  </a:graphicData>
                </a:graphic>
              </wp:anchor>
            </w:drawing>
          </mc:Choice>
          <mc:Fallback>
            <w:pict>
              <v:roundrect id="AutoShape 25" o:spid="_x0000_s1026" o:spt="2" style="position:absolute;left:0pt;margin-left:81.1pt;margin-top:7.3pt;height:40.55pt;width:64.5pt;z-index:251684864;mso-width-relative:page;mso-height-relative:page;" fillcolor="#D6E3BC" filled="t" stroked="t" coordsize="21600,21600" arcsize="0.166666666666667" o:gfxdata="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X3JltgAAAAJAQAA&#10;DwAAAAAAAAABACAAAAAiAAAAZHJzL2Rvd25yZXYueG1sUEsBAhQAFAAAAAgAh07iQMZd/x0ZAgAA&#10;YgQAAA4AAAAAAAAAAQAgAAAAJwEAAGRycy9lMm9Eb2MueG1sUEsFBgAAAAAGAAYAWQEAALIFAAAA&#10;AA==&#10;">
                <v:fill on="t" focussize="0,0"/>
                <v:stroke color="#000000" joinstyle="round"/>
                <v:imagedata o:title=""/>
                <o:lock v:ext="edit" aspectratio="f"/>
                <v:textbox>
                  <w:txbxContent>
                    <w:p>
                      <w:pPr>
                        <w:spacing w:after="0" w:line="240" w:lineRule="auto"/>
                        <w:jc w:val="center"/>
                        <w:rPr>
                          <w:sz w:val="14"/>
                          <w:szCs w:val="14"/>
                          <w:lang w:val="id-ID"/>
                        </w:rPr>
                      </w:pPr>
                      <w:r>
                        <w:rPr>
                          <w:sz w:val="14"/>
                          <w:szCs w:val="14"/>
                        </w:rPr>
                        <w:t xml:space="preserve">Subbid </w:t>
                      </w:r>
                      <w:r>
                        <w:rPr>
                          <w:sz w:val="14"/>
                          <w:szCs w:val="14"/>
                          <w:lang w:val="id-ID"/>
                        </w:rPr>
                        <w:t>Hukum dan Perundang-Undangan</w:t>
                      </w:r>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689984" behindDoc="0" locked="0" layoutInCell="1" allowOverlap="1">
                <wp:simplePos x="0" y="0"/>
                <wp:positionH relativeFrom="column">
                  <wp:posOffset>15240</wp:posOffset>
                </wp:positionH>
                <wp:positionV relativeFrom="paragraph">
                  <wp:posOffset>131445</wp:posOffset>
                </wp:positionV>
                <wp:extent cx="856615" cy="476885"/>
                <wp:effectExtent l="4445" t="4445" r="15240" b="13970"/>
                <wp:wrapNone/>
                <wp:docPr id="46" name="AutoShape 30"/>
                <wp:cNvGraphicFramePr/>
                <a:graphic xmlns:a="http://schemas.openxmlformats.org/drawingml/2006/main">
                  <a:graphicData uri="http://schemas.microsoft.com/office/word/2010/wordprocessingShape">
                    <wps:wsp>
                      <wps:cNvSpPr/>
                      <wps:spPr>
                        <a:xfrm>
                          <a:off x="0" y="0"/>
                          <a:ext cx="856615" cy="476885"/>
                        </a:xfrm>
                        <a:prstGeom prst="roundRect">
                          <a:avLst>
                            <a:gd name="adj" fmla="val 16667"/>
                          </a:avLst>
                        </a:prstGeom>
                        <a:solidFill>
                          <a:srgbClr val="D6E3BC"/>
                        </a:solidFill>
                        <a:ln w="9525" cap="flat" cmpd="sng">
                          <a:solidFill>
                            <a:srgbClr val="000000"/>
                          </a:solidFill>
                          <a:prstDash val="solid"/>
                          <a:headEnd type="none" w="med" len="med"/>
                          <a:tailEnd type="none" w="med" len="med"/>
                        </a:ln>
                        <a:effectLst/>
                      </wps:spPr>
                      <wps:txbx>
                        <w:txbxContent>
                          <w:p>
                            <w:pPr>
                              <w:spacing w:after="0" w:line="240" w:lineRule="auto"/>
                              <w:jc w:val="center"/>
                              <w:rPr>
                                <w:sz w:val="14"/>
                                <w:szCs w:val="14"/>
                                <w:lang w:val="id-ID"/>
                              </w:rPr>
                            </w:pPr>
                            <w:r>
                              <w:rPr>
                                <w:sz w:val="14"/>
                                <w:szCs w:val="14"/>
                              </w:rPr>
                              <w:t xml:space="preserve">Subbid </w:t>
                            </w:r>
                            <w:r>
                              <w:rPr>
                                <w:sz w:val="14"/>
                                <w:szCs w:val="14"/>
                                <w:lang w:val="id-ID"/>
                              </w:rPr>
                              <w:t>Pengawasandan Sengketa Pajak</w:t>
                            </w:r>
                          </w:p>
                        </w:txbxContent>
                      </wps:txbx>
                      <wps:bodyPr upright="1"/>
                    </wps:wsp>
                  </a:graphicData>
                </a:graphic>
              </wp:anchor>
            </w:drawing>
          </mc:Choice>
          <mc:Fallback>
            <w:pict>
              <v:roundrect id="AutoShape 30" o:spid="_x0000_s1026" o:spt="2" style="position:absolute;left:0pt;margin-left:1.2pt;margin-top:10.35pt;height:37.55pt;width:67.45pt;z-index:251689984;mso-width-relative:page;mso-height-relative:page;" fillcolor="#D6E3BC" filled="t" stroked="t" coordsize="21600,21600" arcsize="0.166666666666667" o:gfxdata="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vwySu1gAAAAcBAAAPAAAA&#10;AAAAAAEAIAAAACIAAABkcnMvZG93bnJldi54bWxQSwECFAAUAAAACACHTuJALtXoDxcCAABiBAAA&#10;DgAAAAAAAAABACAAAAAlAQAAZHJzL2Uyb0RvYy54bWxQSwUGAAAAAAYABgBZAQAArgUAAAAA&#10;">
                <v:fill on="t" focussize="0,0"/>
                <v:stroke color="#000000" joinstyle="round"/>
                <v:imagedata o:title=""/>
                <o:lock v:ext="edit" aspectratio="f"/>
                <v:textbox>
                  <w:txbxContent>
                    <w:p>
                      <w:pPr>
                        <w:spacing w:after="0" w:line="240" w:lineRule="auto"/>
                        <w:jc w:val="center"/>
                        <w:rPr>
                          <w:sz w:val="14"/>
                          <w:szCs w:val="14"/>
                          <w:lang w:val="id-ID"/>
                        </w:rPr>
                      </w:pPr>
                      <w:r>
                        <w:rPr>
                          <w:sz w:val="14"/>
                          <w:szCs w:val="14"/>
                        </w:rPr>
                        <w:t xml:space="preserve">Subbid </w:t>
                      </w:r>
                      <w:r>
                        <w:rPr>
                          <w:sz w:val="14"/>
                          <w:szCs w:val="14"/>
                          <w:lang w:val="id-ID"/>
                        </w:rPr>
                        <w:t>Pengawasandan Sengketa Pajak</w:t>
                      </w:r>
                    </w:p>
                  </w:txbxContent>
                </v:textbox>
              </v:roundrect>
            </w:pict>
          </mc:Fallback>
        </mc:AlternateContent>
      </w:r>
      <w:r>
        <w:rPr>
          <w:rFonts w:ascii="Batang" w:hAnsi="Batang" w:eastAsia="Batang" w:cs="MS Reference Sans Serif"/>
          <w:b/>
          <w:bCs/>
          <w:lang w:val="id-ID" w:eastAsia="id-ID"/>
        </w:rPr>
        <mc:AlternateContent>
          <mc:Choice Requires="wps">
            <w:drawing>
              <wp:anchor distT="0" distB="0" distL="114300" distR="114300" simplePos="0" relativeHeight="251718656" behindDoc="0" locked="0" layoutInCell="1" allowOverlap="1">
                <wp:simplePos x="0" y="0"/>
                <wp:positionH relativeFrom="column">
                  <wp:posOffset>954405</wp:posOffset>
                </wp:positionH>
                <wp:positionV relativeFrom="paragraph">
                  <wp:posOffset>311150</wp:posOffset>
                </wp:positionV>
                <wp:extent cx="74295" cy="0"/>
                <wp:effectExtent l="0" t="0" r="0" b="0"/>
                <wp:wrapNone/>
                <wp:docPr id="75" name="AutoShape 62"/>
                <wp:cNvGraphicFramePr/>
                <a:graphic xmlns:a="http://schemas.openxmlformats.org/drawingml/2006/main">
                  <a:graphicData uri="http://schemas.microsoft.com/office/word/2010/wordprocessingShape">
                    <wps:wsp>
                      <wps:cNvCnPr/>
                      <wps:spPr>
                        <a:xfrm>
                          <a:off x="0" y="0"/>
                          <a:ext cx="7429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62" o:spid="_x0000_s1026" o:spt="32" type="#_x0000_t32" style="position:absolute;left:0pt;margin-left:75.15pt;margin-top:24.5pt;height:0pt;width:5.85pt;z-index:251718656;mso-width-relative:page;mso-height-relative:page;" filled="f" stroked="t" coordsize="21600,21600" o:gfxdata="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c+mC7WAAAACQEA&#10;AA8AAAAAAAAAAQAgAAAAIgAAAGRycy9kb3ducmV2LnhtbFBLAQIUABQAAAAIAIdO4kCRFkEO4wEA&#10;AO4DAAAOAAAAAAAAAAEAIAAAACUBAABkcnMvZTJvRG9jLnhtbFBLBQYAAAAABgAGAFkBAAB6BQAA&#10;AAA=&#10;">
                <v:fill on="f" focussize="0,0"/>
                <v:stroke color="#000000" joinstyle="round"/>
                <v:imagedata o:title=""/>
                <o:lock v:ext="edit" aspectratio="f"/>
              </v:shape>
            </w:pict>
          </mc:Fallback>
        </mc:AlternateContent>
      </w:r>
    </w:p>
    <w:p>
      <w:pPr>
        <w:rPr>
          <w:rFonts w:ascii="Batang" w:hAnsi="Batang" w:eastAsia="Batang" w:cs="MS Reference Sans Serif"/>
          <w:lang w:val="id-ID"/>
        </w:rPr>
      </w:pPr>
      <w:r>
        <w:rPr>
          <w:rFonts w:ascii="Batang" w:hAnsi="Batang" w:eastAsia="Batang" w:cs="MS Reference Sans Serif"/>
          <w:b/>
          <w:bCs/>
          <w:lang w:val="id-ID" w:eastAsia="id-ID"/>
        </w:rPr>
        <mc:AlternateContent>
          <mc:Choice Requires="wps">
            <w:drawing>
              <wp:anchor distT="0" distB="0" distL="114300" distR="114300" simplePos="0" relativeHeight="251715584" behindDoc="0" locked="0" layoutInCell="1" allowOverlap="1">
                <wp:simplePos x="0" y="0"/>
                <wp:positionH relativeFrom="column">
                  <wp:posOffset>-91440</wp:posOffset>
                </wp:positionH>
                <wp:positionV relativeFrom="paragraph">
                  <wp:posOffset>44450</wp:posOffset>
                </wp:positionV>
                <wp:extent cx="69215" cy="0"/>
                <wp:effectExtent l="0" t="0" r="0" b="0"/>
                <wp:wrapNone/>
                <wp:docPr id="72" name="AutoShape 58"/>
                <wp:cNvGraphicFramePr/>
                <a:graphic xmlns:a="http://schemas.openxmlformats.org/drawingml/2006/main">
                  <a:graphicData uri="http://schemas.microsoft.com/office/word/2010/wordprocessingShape">
                    <wps:wsp>
                      <wps:cNvCnPr/>
                      <wps:spPr>
                        <a:xfrm>
                          <a:off x="0" y="0"/>
                          <a:ext cx="6921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AutoShape 58" o:spid="_x0000_s1026" o:spt="32" type="#_x0000_t32" style="position:absolute;left:0pt;margin-left:-7.2pt;margin-top:3.5pt;height:0pt;width:5.45pt;z-index:251715584;mso-width-relative:page;mso-height-relative:page;" filled="f" stroked="t" coordsize="21600,21600" o:gfxdata="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0h8nNUAAAAGAQAA&#10;DwAAAAAAAAABACAAAAAiAAAAZHJzL2Rvd25yZXYueG1sUEsBAhQAFAAAAAgAh07iQB2MS53jAQAA&#10;7gMAAA4AAAAAAAAAAQAgAAAAJAEAAGRycy9lMm9Eb2MueG1sUEsFBgAAAAAGAAYAWQEAAHkFAAAA&#10;AA==&#10;">
                <v:fill on="f" focussize="0,0"/>
                <v:stroke color="#000000" joinstyle="round"/>
                <v:imagedata o:title=""/>
                <o:lock v:ext="edit" aspectratio="f"/>
              </v:shape>
            </w:pict>
          </mc:Fallback>
        </mc:AlternateContent>
      </w:r>
    </w:p>
    <w:p>
      <w:pPr>
        <w:tabs>
          <w:tab w:val="left" w:pos="1943"/>
        </w:tabs>
        <w:spacing w:after="0"/>
        <w:rPr>
          <w:rFonts w:eastAsia="Batang" w:cs="MS Reference Sans Serif" w:asciiTheme="minorHAnsi" w:hAnsiTheme="minorHAnsi"/>
        </w:rPr>
      </w:pPr>
    </w:p>
    <w:p>
      <w:pPr>
        <w:tabs>
          <w:tab w:val="left" w:pos="1943"/>
        </w:tabs>
        <w:spacing w:after="0"/>
        <w:rPr>
          <w:rFonts w:eastAsia="Batang" w:cs="MS Reference Sans Serif" w:asciiTheme="minorHAnsi" w:hAnsiTheme="minorHAnsi"/>
        </w:rPr>
      </w:pPr>
      <w:r>
        <w:rPr>
          <w:rFonts w:ascii="Batang" w:hAnsi="Batang" w:eastAsia="Batang" w:cs="MS Reference Sans Serif"/>
          <w:b/>
          <w:bCs/>
          <w:lang w:val="id-ID" w:eastAsia="id-ID"/>
        </w:rPr>
        <mc:AlternateContent>
          <mc:Choice Requires="wps">
            <w:drawing>
              <wp:anchor distT="0" distB="0" distL="114300" distR="114300" simplePos="0" relativeHeight="251692032" behindDoc="0" locked="0" layoutInCell="1" allowOverlap="1">
                <wp:simplePos x="0" y="0"/>
                <wp:positionH relativeFrom="column">
                  <wp:posOffset>2601595</wp:posOffset>
                </wp:positionH>
                <wp:positionV relativeFrom="paragraph">
                  <wp:posOffset>5715</wp:posOffset>
                </wp:positionV>
                <wp:extent cx="819150" cy="353060"/>
                <wp:effectExtent l="4445" t="4445" r="14605" b="23495"/>
                <wp:wrapNone/>
                <wp:docPr id="48" name="AutoShape 32"/>
                <wp:cNvGraphicFramePr/>
                <a:graphic xmlns:a="http://schemas.openxmlformats.org/drawingml/2006/main">
                  <a:graphicData uri="http://schemas.microsoft.com/office/word/2010/wordprocessingShape">
                    <wps:wsp>
                      <wps:cNvSpPr/>
                      <wps:spPr>
                        <a:xfrm>
                          <a:off x="0" y="0"/>
                          <a:ext cx="819150" cy="353060"/>
                        </a:xfrm>
                        <a:prstGeom prst="roundRect">
                          <a:avLst>
                            <a:gd name="adj" fmla="val 16667"/>
                          </a:avLst>
                        </a:prstGeom>
                        <a:solidFill>
                          <a:schemeClr val="accent6">
                            <a:lumMod val="60000"/>
                            <a:lumOff val="40000"/>
                          </a:schemeClr>
                        </a:solidFill>
                        <a:ln w="9525" cap="flat" cmpd="sng">
                          <a:solidFill>
                            <a:srgbClr val="000000"/>
                          </a:solidFill>
                          <a:prstDash val="solid"/>
                          <a:headEnd type="none" w="med" len="med"/>
                          <a:tailEnd type="none" w="med" len="med"/>
                        </a:ln>
                        <a:effectLst/>
                      </wps:spPr>
                      <wps:txbx>
                        <w:txbxContent>
                          <w:p>
                            <w:pPr>
                              <w:rPr>
                                <w:sz w:val="16"/>
                                <w:szCs w:val="16"/>
                              </w:rPr>
                            </w:pPr>
                            <w:r>
                              <w:rPr>
                                <w:sz w:val="16"/>
                                <w:szCs w:val="16"/>
                                <w:lang w:val="id-ID"/>
                              </w:rPr>
                              <w:t xml:space="preserve">         UPT</w:t>
                            </w:r>
                            <w:r>
                              <w:rPr>
                                <w:sz w:val="16"/>
                                <w:szCs w:val="16"/>
                              </w:rPr>
                              <w:t>D</w:t>
                            </w:r>
                          </w:p>
                        </w:txbxContent>
                      </wps:txbx>
                      <wps:bodyPr upright="1"/>
                    </wps:wsp>
                  </a:graphicData>
                </a:graphic>
              </wp:anchor>
            </w:drawing>
          </mc:Choice>
          <mc:Fallback>
            <w:pict>
              <v:roundrect id="AutoShape 32" o:spid="_x0000_s1026" o:spt="2" style="position:absolute;left:0pt;margin-left:204.85pt;margin-top:0.45pt;height:27.8pt;width:64.5pt;z-index:251692032;mso-width-relative:page;mso-height-relative:page;" fillcolor="#FAC090 [1945]" filled="t" stroked="t" coordsize="21600,21600" arcsize="0.166666666666667" o:gfxdata="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3bSvNUAAAAHAQAADwAAAAAAAAABACAAAAAiAAAAZHJzL2Rvd25yZXYueG1s&#10;UEsBAhQAFAAAAAgAh07iQFAlBKE0AgAAmwQAAA4AAAAAAAAAAQAgAAAAJAEAAGRycy9lMm9Eb2Mu&#10;eG1sUEsFBgAAAAAGAAYAWQEAAMoFAAAAAA==&#10;">
                <v:fill on="t" focussize="0,0"/>
                <v:stroke color="#000000" joinstyle="round"/>
                <v:imagedata o:title=""/>
                <o:lock v:ext="edit" aspectratio="f"/>
                <v:textbox>
                  <w:txbxContent>
                    <w:p>
                      <w:pPr>
                        <w:rPr>
                          <w:sz w:val="16"/>
                          <w:szCs w:val="16"/>
                        </w:rPr>
                      </w:pPr>
                      <w:r>
                        <w:rPr>
                          <w:sz w:val="16"/>
                          <w:szCs w:val="16"/>
                          <w:lang w:val="id-ID"/>
                        </w:rPr>
                        <w:t xml:space="preserve">         UPT</w:t>
                      </w:r>
                      <w:r>
                        <w:rPr>
                          <w:sz w:val="16"/>
                          <w:szCs w:val="16"/>
                        </w:rPr>
                        <w:t>D</w:t>
                      </w:r>
                    </w:p>
                  </w:txbxContent>
                </v:textbox>
              </v:roundrect>
            </w:pict>
          </mc:Fallback>
        </mc:AlternateContent>
      </w:r>
    </w:p>
    <w:p>
      <w:pPr>
        <w:tabs>
          <w:tab w:val="left" w:pos="1943"/>
        </w:tabs>
        <w:spacing w:after="0"/>
        <w:rPr>
          <w:rFonts w:eastAsia="Batang" w:cs="MS Reference Sans Serif" w:asciiTheme="minorHAnsi" w:hAnsiTheme="minorHAnsi"/>
        </w:rPr>
      </w:pPr>
    </w:p>
    <w:p>
      <w:pPr>
        <w:tabs>
          <w:tab w:val="left" w:pos="1943"/>
        </w:tabs>
        <w:spacing w:after="0"/>
        <w:rPr>
          <w:rFonts w:eastAsia="Batang" w:cs="MS Reference Sans Serif" w:asciiTheme="minorHAnsi" w:hAnsiTheme="minorHAnsi"/>
        </w:rPr>
      </w:pPr>
    </w:p>
    <w:p>
      <w:pPr>
        <w:tabs>
          <w:tab w:val="left" w:pos="1943"/>
        </w:tabs>
        <w:spacing w:after="0"/>
        <w:rPr>
          <w:rFonts w:eastAsia="Batang" w:cs="MS Reference Sans Serif" w:asciiTheme="minorHAnsi" w:hAnsiTheme="minorHAnsi"/>
        </w:rPr>
      </w:pPr>
    </w:p>
    <w:p>
      <w:pPr>
        <w:tabs>
          <w:tab w:val="left" w:pos="1943"/>
        </w:tabs>
        <w:spacing w:after="0"/>
        <w:rPr>
          <w:rFonts w:eastAsia="Batang" w:cs="MS Reference Sans Serif" w:asciiTheme="minorHAnsi" w:hAnsiTheme="minorHAnsi"/>
        </w:rPr>
      </w:pPr>
    </w:p>
    <w:p>
      <w:pPr>
        <w:pStyle w:val="10"/>
        <w:numPr>
          <w:ilvl w:val="0"/>
          <w:numId w:val="15"/>
        </w:numPr>
        <w:ind w:left="841" w:leftChars="199" w:hanging="403" w:hangingChars="183"/>
        <w:rPr>
          <w:rFonts w:ascii="Tahoma" w:hAnsi="Tahoma" w:cs="Tahoma"/>
          <w:b/>
          <w:bCs/>
          <w:color w:val="000000"/>
          <w:sz w:val="22"/>
          <w:szCs w:val="22"/>
          <w:lang w:val="id-ID"/>
        </w:rPr>
      </w:pPr>
      <w:r>
        <w:rPr>
          <w:rFonts w:ascii="Tahoma" w:hAnsi="Tahoma" w:cs="Tahoma"/>
          <w:b/>
          <w:bCs/>
          <w:color w:val="000000"/>
          <w:sz w:val="22"/>
          <w:szCs w:val="22"/>
          <w:lang w:val="id-ID"/>
        </w:rPr>
        <w:t>Sumber Daya Manusia</w:t>
      </w:r>
    </w:p>
    <w:p>
      <w:pPr>
        <w:pStyle w:val="10"/>
        <w:ind w:left="880" w:firstLine="0"/>
        <w:rPr>
          <w:rFonts w:ascii="Tahoma" w:hAnsi="Tahoma" w:cs="Tahoma"/>
          <w:color w:val="000000"/>
          <w:sz w:val="22"/>
          <w:szCs w:val="22"/>
        </w:rPr>
      </w:pPr>
      <w:r>
        <w:rPr>
          <w:rFonts w:ascii="Tahoma" w:hAnsi="Tahoma" w:cs="Tahoma"/>
          <w:color w:val="000000"/>
          <w:sz w:val="22"/>
          <w:szCs w:val="22"/>
          <w:lang w:val="id-ID"/>
        </w:rPr>
        <w:t xml:space="preserve">Pegawai Badan Keuangan Daerah Provinsi Sumatera Barat </w:t>
      </w:r>
      <w:r>
        <w:rPr>
          <w:rFonts w:ascii="Tahoma" w:hAnsi="Tahoma" w:cs="Tahoma"/>
          <w:color w:val="000000"/>
          <w:sz w:val="22"/>
          <w:szCs w:val="22"/>
        </w:rPr>
        <w:t>kondisi</w:t>
      </w:r>
      <w:r>
        <w:rPr>
          <w:rFonts w:ascii="Tahoma" w:hAnsi="Tahoma" w:cs="Tahoma"/>
          <w:color w:val="000000"/>
          <w:sz w:val="22"/>
          <w:szCs w:val="22"/>
          <w:lang w:val="id-ID"/>
        </w:rPr>
        <w:t xml:space="preserve"> 31 Desember 20</w:t>
      </w:r>
      <w:r>
        <w:rPr>
          <w:rFonts w:ascii="Tahoma" w:hAnsi="Tahoma" w:cs="Tahoma"/>
          <w:color w:val="000000"/>
          <w:sz w:val="22"/>
          <w:szCs w:val="22"/>
        </w:rPr>
        <w:t>20</w:t>
      </w:r>
      <w:r>
        <w:rPr>
          <w:rFonts w:ascii="Tahoma" w:hAnsi="Tahoma" w:cs="Tahoma"/>
          <w:color w:val="000000"/>
          <w:sz w:val="22"/>
          <w:szCs w:val="22"/>
          <w:lang w:val="id-ID"/>
        </w:rPr>
        <w:t xml:space="preserve"> sebanyak </w:t>
      </w:r>
      <w:r>
        <w:rPr>
          <w:rFonts w:ascii="Tahoma" w:hAnsi="Tahoma" w:cs="Tahoma"/>
          <w:color w:val="000000"/>
          <w:sz w:val="22"/>
          <w:szCs w:val="22"/>
        </w:rPr>
        <w:t>246</w:t>
      </w:r>
      <w:r>
        <w:rPr>
          <w:rFonts w:ascii="Tahoma" w:hAnsi="Tahoma" w:cs="Tahoma"/>
          <w:color w:val="000000"/>
          <w:sz w:val="22"/>
          <w:szCs w:val="22"/>
          <w:lang w:val="id-ID"/>
        </w:rPr>
        <w:t xml:space="preserve"> orang dengan rincian </w:t>
      </w:r>
      <w:r>
        <w:rPr>
          <w:rFonts w:ascii="Tahoma" w:hAnsi="Tahoma" w:cs="Tahoma"/>
          <w:color w:val="000000"/>
          <w:sz w:val="22"/>
          <w:szCs w:val="22"/>
        </w:rPr>
        <w:t>sebagai berikut :</w:t>
      </w:r>
    </w:p>
    <w:p>
      <w:pPr>
        <w:pStyle w:val="10"/>
        <w:ind w:left="1100" w:firstLine="0"/>
        <w:jc w:val="left"/>
        <w:rPr>
          <w:rFonts w:ascii="Tahoma" w:hAnsi="Tahoma" w:cs="Tahoma"/>
          <w:color w:val="000000"/>
          <w:sz w:val="22"/>
          <w:szCs w:val="22"/>
        </w:rPr>
      </w:pPr>
      <w:r>
        <w:rPr>
          <w:rFonts w:ascii="Tahoma" w:hAnsi="Tahoma" w:cs="Tahoma"/>
          <w:color w:val="000000"/>
          <w:sz w:val="22"/>
          <w:szCs w:val="22"/>
        </w:rPr>
        <w:t>- 242 orang PNS</w:t>
      </w:r>
    </w:p>
    <w:p>
      <w:pPr>
        <w:pStyle w:val="10"/>
        <w:ind w:left="1100" w:firstLine="0"/>
        <w:jc w:val="left"/>
        <w:rPr>
          <w:rFonts w:ascii="Tahoma" w:hAnsi="Tahoma" w:cs="Tahoma"/>
          <w:color w:val="000000"/>
          <w:sz w:val="22"/>
          <w:szCs w:val="22"/>
        </w:rPr>
      </w:pPr>
      <w:r>
        <w:rPr>
          <w:rFonts w:ascii="Tahoma" w:hAnsi="Tahoma" w:cs="Tahoma"/>
          <w:color w:val="000000"/>
          <w:sz w:val="22"/>
          <w:szCs w:val="22"/>
        </w:rPr>
        <w:t>- 4 orang PTT</w:t>
      </w:r>
    </w:p>
    <w:p>
      <w:pPr>
        <w:pStyle w:val="10"/>
        <w:ind w:left="880" w:firstLine="0"/>
        <w:rPr>
          <w:rFonts w:ascii="Tahoma" w:hAnsi="Tahoma" w:cs="Tahoma"/>
          <w:color w:val="000000"/>
          <w:sz w:val="22"/>
          <w:szCs w:val="22"/>
          <w:lang w:val="id-ID"/>
        </w:rPr>
      </w:pPr>
      <w:r>
        <w:rPr>
          <w:rFonts w:ascii="Tahoma" w:hAnsi="Tahoma" w:cs="Tahoma"/>
          <w:color w:val="000000"/>
          <w:sz w:val="22"/>
          <w:szCs w:val="22"/>
        </w:rPr>
        <w:t xml:space="preserve">Untuk lebih jelasnya kondisi pegawai dimaksud dapat dilhat pada tabel berikut. </w:t>
      </w:r>
    </w:p>
    <w:p>
      <w:pPr>
        <w:pStyle w:val="10"/>
        <w:ind w:left="880" w:firstLine="0"/>
        <w:rPr>
          <w:rFonts w:ascii="Tahoma" w:hAnsi="Tahoma" w:cs="Tahoma"/>
          <w:color w:val="000000"/>
          <w:sz w:val="22"/>
          <w:szCs w:val="22"/>
          <w:lang w:val="id-ID"/>
        </w:rPr>
      </w:pPr>
    </w:p>
    <w:p>
      <w:pPr>
        <w:pStyle w:val="10"/>
        <w:ind w:left="880" w:firstLine="0"/>
        <w:rPr>
          <w:rFonts w:ascii="Tahoma" w:hAnsi="Tahoma" w:cs="Tahoma"/>
          <w:color w:val="000000"/>
          <w:sz w:val="22"/>
          <w:szCs w:val="22"/>
          <w:lang w:val="id-ID"/>
        </w:rPr>
      </w:pPr>
    </w:p>
    <w:p>
      <w:pPr>
        <w:pStyle w:val="10"/>
        <w:ind w:firstLine="0"/>
        <w:rPr>
          <w:rFonts w:ascii="Tahoma" w:hAnsi="Tahoma" w:cs="Tahoma"/>
          <w:color w:val="000000"/>
          <w:sz w:val="22"/>
          <w:szCs w:val="22"/>
          <w:lang w:val="id-ID"/>
        </w:rPr>
      </w:pPr>
    </w:p>
    <w:p>
      <w:pPr>
        <w:pStyle w:val="10"/>
        <w:spacing w:before="120" w:after="120" w:line="240" w:lineRule="auto"/>
        <w:ind w:left="880" w:firstLine="0"/>
        <w:jc w:val="center"/>
        <w:rPr>
          <w:rFonts w:ascii="Tahoma" w:hAnsi="Tahoma" w:cs="Tahoma"/>
          <w:b/>
          <w:bCs/>
          <w:color w:val="000000"/>
          <w:sz w:val="22"/>
          <w:szCs w:val="22"/>
          <w:lang w:val="id-ID"/>
        </w:rPr>
      </w:pPr>
      <w:r>
        <w:rPr>
          <w:rFonts w:ascii="Tahoma" w:hAnsi="Tahoma" w:cs="Tahoma"/>
          <w:b/>
          <w:bCs/>
          <w:color w:val="000000"/>
          <w:sz w:val="22"/>
          <w:szCs w:val="22"/>
        </w:rPr>
        <w:t>Tabel 1</w:t>
      </w:r>
      <w:r>
        <w:rPr>
          <w:rFonts w:ascii="Tahoma" w:hAnsi="Tahoma" w:cs="Tahoma"/>
          <w:b/>
          <w:bCs/>
          <w:color w:val="000000"/>
          <w:sz w:val="22"/>
          <w:szCs w:val="22"/>
          <w:lang w:val="id-ID"/>
        </w:rPr>
        <w:t>.1</w:t>
      </w:r>
    </w:p>
    <w:p>
      <w:pPr>
        <w:pStyle w:val="10"/>
        <w:spacing w:line="240" w:lineRule="auto"/>
        <w:ind w:left="879" w:firstLine="0"/>
        <w:jc w:val="center"/>
        <w:rPr>
          <w:rFonts w:ascii="Tahoma" w:hAnsi="Tahoma" w:cs="Tahoma"/>
          <w:b/>
          <w:bCs/>
          <w:color w:val="000000"/>
          <w:sz w:val="22"/>
          <w:szCs w:val="22"/>
        </w:rPr>
      </w:pPr>
      <w:r>
        <w:rPr>
          <w:rFonts w:ascii="Tahoma" w:hAnsi="Tahoma" w:cs="Tahoma"/>
          <w:b/>
          <w:bCs/>
          <w:color w:val="000000"/>
          <w:sz w:val="22"/>
          <w:szCs w:val="22"/>
        </w:rPr>
        <w:t>Komposisi PNS Badan Keuangan Daerah Provinsi Sumatera Barat</w:t>
      </w:r>
    </w:p>
    <w:p>
      <w:pPr>
        <w:pStyle w:val="10"/>
        <w:spacing w:line="240" w:lineRule="auto"/>
        <w:ind w:left="879" w:firstLine="0"/>
        <w:jc w:val="center"/>
        <w:rPr>
          <w:rFonts w:ascii="Tahoma" w:hAnsi="Tahoma" w:cs="Tahoma"/>
          <w:b/>
          <w:bCs/>
          <w:color w:val="000000"/>
          <w:sz w:val="22"/>
          <w:szCs w:val="22"/>
        </w:rPr>
      </w:pPr>
      <w:r>
        <w:rPr>
          <w:rFonts w:ascii="Tahoma" w:hAnsi="Tahoma" w:cs="Tahoma"/>
          <w:b/>
          <w:bCs/>
          <w:color w:val="000000"/>
          <w:sz w:val="22"/>
          <w:szCs w:val="22"/>
        </w:rPr>
        <w:t>Menurut Pendidikan, Pangkat dan Golongan serta Jabatan</w:t>
      </w:r>
    </w:p>
    <w:p>
      <w:pPr>
        <w:pStyle w:val="10"/>
        <w:spacing w:line="240" w:lineRule="auto"/>
        <w:ind w:left="879" w:firstLine="0"/>
        <w:jc w:val="center"/>
        <w:rPr>
          <w:rFonts w:ascii="Tahoma" w:hAnsi="Tahoma" w:cs="Tahoma"/>
          <w:b/>
          <w:bCs/>
          <w:color w:val="000000"/>
          <w:sz w:val="22"/>
          <w:szCs w:val="22"/>
        </w:rPr>
      </w:pPr>
      <w:r>
        <w:rPr>
          <w:rFonts w:ascii="Tahoma" w:hAnsi="Tahoma" w:cs="Tahoma"/>
          <w:b/>
          <w:bCs/>
          <w:color w:val="000000"/>
          <w:sz w:val="22"/>
          <w:szCs w:val="22"/>
        </w:rPr>
        <w:t>Per 31 Desember 2020</w:t>
      </w:r>
    </w:p>
    <w:p>
      <w:pPr>
        <w:pStyle w:val="10"/>
        <w:spacing w:line="240" w:lineRule="auto"/>
        <w:ind w:left="879" w:firstLine="0"/>
        <w:jc w:val="center"/>
        <w:rPr>
          <w:rFonts w:ascii="Tahoma" w:hAnsi="Tahoma" w:cs="Tahoma"/>
          <w:b/>
          <w:bCs/>
          <w:color w:val="000000"/>
          <w:sz w:val="22"/>
          <w:szCs w:val="22"/>
        </w:rPr>
      </w:pPr>
    </w:p>
    <w:p>
      <w:pPr>
        <w:pStyle w:val="10"/>
        <w:spacing w:line="240" w:lineRule="auto"/>
        <w:ind w:left="-220" w:leftChars="-100" w:firstLine="0"/>
        <w:jc w:val="center"/>
        <w:rPr>
          <w:rFonts w:ascii="Tahoma" w:hAnsi="Tahoma" w:cs="Tahoma"/>
          <w:b/>
          <w:bCs/>
          <w:color w:val="000000"/>
          <w:sz w:val="22"/>
          <w:szCs w:val="22"/>
        </w:rPr>
      </w:pPr>
      <w:r>
        <w:rPr>
          <w:lang w:val="id-ID" w:eastAsia="id-ID"/>
        </w:rPr>
        <w:drawing>
          <wp:inline distT="0" distB="0" distL="114300" distR="114300">
            <wp:extent cx="6219190" cy="2863215"/>
            <wp:effectExtent l="0" t="0" r="10160" b="1333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24"/>
                    <a:stretch>
                      <a:fillRect/>
                    </a:stretch>
                  </pic:blipFill>
                  <pic:spPr>
                    <a:xfrm>
                      <a:off x="0" y="0"/>
                      <a:ext cx="6219190" cy="2863215"/>
                    </a:xfrm>
                    <a:prstGeom prst="rect">
                      <a:avLst/>
                    </a:prstGeom>
                    <a:noFill/>
                    <a:ln>
                      <a:noFill/>
                    </a:ln>
                  </pic:spPr>
                </pic:pic>
              </a:graphicData>
            </a:graphic>
          </wp:inline>
        </w:drawing>
      </w:r>
    </w:p>
    <w:p>
      <w:pPr>
        <w:pStyle w:val="10"/>
        <w:spacing w:line="240" w:lineRule="auto"/>
        <w:ind w:left="879" w:firstLine="0"/>
        <w:jc w:val="center"/>
        <w:rPr>
          <w:rFonts w:ascii="Tahoma" w:hAnsi="Tahoma" w:cs="Tahoma"/>
          <w:b/>
          <w:bCs/>
          <w:color w:val="000000"/>
          <w:sz w:val="22"/>
          <w:szCs w:val="22"/>
        </w:rPr>
      </w:pPr>
    </w:p>
    <w:p>
      <w:pPr>
        <w:pStyle w:val="10"/>
        <w:spacing w:line="240" w:lineRule="auto"/>
        <w:ind w:left="879" w:firstLine="0"/>
        <w:jc w:val="center"/>
        <w:rPr>
          <w:rFonts w:ascii="Tahoma" w:hAnsi="Tahoma" w:cs="Tahoma"/>
          <w:b/>
          <w:bCs/>
          <w:color w:val="000000"/>
          <w:sz w:val="22"/>
          <w:szCs w:val="22"/>
        </w:rPr>
      </w:pPr>
    </w:p>
    <w:p>
      <w:pPr>
        <w:pStyle w:val="10"/>
        <w:spacing w:before="120" w:after="360"/>
        <w:ind w:left="1100" w:leftChars="500" w:firstLine="0"/>
        <w:rPr>
          <w:rFonts w:hint="default" w:ascii="Tahoma" w:hAnsi="Tahoma" w:cs="Tahoma"/>
          <w:color w:val="auto"/>
          <w:sz w:val="22"/>
          <w:szCs w:val="22"/>
          <w:lang w:val="en-US"/>
        </w:rPr>
      </w:pPr>
      <w:r>
        <w:rPr>
          <w:rFonts w:ascii="Tahoma" w:hAnsi="Tahoma" w:cs="Tahoma"/>
          <w:sz w:val="22"/>
          <w:szCs w:val="22"/>
          <w:lang w:val="id-ID"/>
        </w:rPr>
        <w:t>Berdasarkan analis</w:t>
      </w:r>
      <w:r>
        <w:rPr>
          <w:rFonts w:hint="default" w:ascii="Tahoma" w:hAnsi="Tahoma" w:cs="Tahoma"/>
          <w:sz w:val="22"/>
          <w:szCs w:val="22"/>
          <w:lang w:val="en-US"/>
        </w:rPr>
        <w:t>is</w:t>
      </w:r>
      <w:r>
        <w:rPr>
          <w:rFonts w:ascii="Tahoma" w:hAnsi="Tahoma" w:cs="Tahoma"/>
          <w:sz w:val="22"/>
          <w:szCs w:val="22"/>
          <w:lang w:val="id-ID"/>
        </w:rPr>
        <w:t xml:space="preserve"> beban kerja</w:t>
      </w:r>
      <w:r>
        <w:rPr>
          <w:rFonts w:ascii="Tahoma" w:hAnsi="Tahoma" w:cs="Tahoma"/>
          <w:sz w:val="22"/>
          <w:szCs w:val="22"/>
        </w:rPr>
        <w:t xml:space="preserve"> telah dilaksanakan, jumlah PNS Badan Keuangan Daerah yang ada per 31 Desember 2020 masih belum mencukupi kebutuhan ideal yaitu sebanyak</w:t>
      </w:r>
      <w:r>
        <w:rPr>
          <w:rFonts w:hint="default" w:ascii="Tahoma" w:hAnsi="Tahoma" w:cs="Tahoma"/>
          <w:sz w:val="22"/>
          <w:szCs w:val="22"/>
          <w:lang w:val="en-US"/>
        </w:rPr>
        <w:t xml:space="preserve"> </w:t>
      </w:r>
      <w:r>
        <w:rPr>
          <w:rFonts w:ascii="Tahoma" w:hAnsi="Tahoma" w:cs="Tahoma"/>
          <w:color w:val="auto"/>
          <w:sz w:val="22"/>
          <w:szCs w:val="22"/>
        </w:rPr>
        <w:t>55</w:t>
      </w:r>
      <w:r>
        <w:rPr>
          <w:rFonts w:hint="default" w:ascii="Tahoma" w:hAnsi="Tahoma" w:cs="Tahoma"/>
          <w:color w:val="auto"/>
          <w:sz w:val="22"/>
          <w:szCs w:val="22"/>
          <w:lang w:val="en-US"/>
        </w:rPr>
        <w:t>6</w:t>
      </w:r>
      <w:r>
        <w:rPr>
          <w:rFonts w:ascii="Tahoma" w:hAnsi="Tahoma" w:cs="Tahoma"/>
          <w:color w:val="auto"/>
          <w:sz w:val="22"/>
          <w:szCs w:val="22"/>
        </w:rPr>
        <w:t xml:space="preserve"> orang</w:t>
      </w:r>
      <w:r>
        <w:rPr>
          <w:rFonts w:hint="default" w:ascii="Tahoma" w:hAnsi="Tahoma" w:cs="Tahoma"/>
          <w:color w:val="auto"/>
          <w:sz w:val="22"/>
          <w:szCs w:val="22"/>
          <w:lang w:val="en-US"/>
        </w:rPr>
        <w:t>.</w:t>
      </w:r>
      <w:r>
        <w:rPr>
          <w:rFonts w:ascii="Tahoma" w:hAnsi="Tahoma" w:cs="Tahoma"/>
          <w:color w:val="auto"/>
          <w:sz w:val="22"/>
          <w:szCs w:val="22"/>
        </w:rPr>
        <w:t xml:space="preserve"> </w:t>
      </w:r>
      <w:r>
        <w:rPr>
          <w:rFonts w:ascii="Tahoma" w:hAnsi="Tahoma" w:cs="Tahoma"/>
          <w:color w:val="auto"/>
          <w:sz w:val="22"/>
          <w:szCs w:val="22"/>
          <w:lang w:val="id-ID"/>
        </w:rPr>
        <w:t xml:space="preserve"> Mengingat beban kerja sesuai dengan tupoksi masih dibutuhkan tambahan pegawai. Untuk membantu pelaksanaan tugas supaya tetap berjalan sesuai dengan fungsi dilaksanakan dengan </w:t>
      </w:r>
      <w:r>
        <w:rPr>
          <w:rFonts w:ascii="Tahoma" w:hAnsi="Tahoma" w:cs="Tahoma"/>
          <w:color w:val="auto"/>
          <w:sz w:val="22"/>
          <w:szCs w:val="22"/>
        </w:rPr>
        <w:t>merangkap tugas yang dilakukan oleh pagawai yang ada</w:t>
      </w:r>
      <w:r>
        <w:rPr>
          <w:rFonts w:hint="default" w:ascii="Tahoma" w:hAnsi="Tahoma" w:cs="Tahoma"/>
          <w:color w:val="auto"/>
          <w:sz w:val="22"/>
          <w:szCs w:val="22"/>
          <w:lang w:val="en-US"/>
        </w:rPr>
        <w:t>.</w:t>
      </w:r>
    </w:p>
    <w:p>
      <w:pPr>
        <w:pStyle w:val="10"/>
        <w:spacing w:before="120" w:after="120" w:line="240" w:lineRule="auto"/>
        <w:ind w:firstLine="0"/>
        <w:jc w:val="left"/>
        <w:rPr>
          <w:rFonts w:ascii="Tahoma" w:hAnsi="Tahoma" w:cs="Tahoma"/>
          <w:color w:val="000000"/>
          <w:sz w:val="22"/>
          <w:szCs w:val="22"/>
          <w:lang w:val="id-ID"/>
        </w:rPr>
      </w:pPr>
    </w:p>
    <w:p>
      <w:pPr>
        <w:pStyle w:val="10"/>
        <w:numPr>
          <w:ilvl w:val="0"/>
          <w:numId w:val="13"/>
        </w:numPr>
        <w:spacing w:before="120" w:after="120"/>
        <w:ind w:left="449" w:hanging="449"/>
        <w:rPr>
          <w:rFonts w:ascii="Tahoma" w:hAnsi="Tahoma" w:cs="Tahoma"/>
          <w:b/>
          <w:color w:val="000000"/>
          <w:sz w:val="28"/>
          <w:szCs w:val="28"/>
          <w:lang w:val="id-ID"/>
        </w:rPr>
      </w:pPr>
      <w:r>
        <w:rPr>
          <w:rFonts w:ascii="Tahoma" w:hAnsi="Tahoma" w:cs="Tahoma"/>
          <w:b/>
          <w:color w:val="000000"/>
          <w:sz w:val="28"/>
          <w:szCs w:val="28"/>
          <w:lang w:val="id-ID"/>
        </w:rPr>
        <w:t>ASPEK STRATEGIS ORGANISASI</w:t>
      </w:r>
    </w:p>
    <w:p>
      <w:pPr>
        <w:spacing w:line="360" w:lineRule="auto"/>
        <w:ind w:left="440"/>
        <w:jc w:val="both"/>
        <w:rPr>
          <w:rFonts w:ascii="Tahoma" w:hAnsi="Tahoma" w:cs="Tahoma"/>
          <w:lang w:val="id-ID"/>
        </w:rPr>
      </w:pPr>
      <w:r>
        <w:rPr>
          <w:rFonts w:ascii="Tahoma" w:hAnsi="Tahoma" w:cs="Tahoma"/>
          <w:lang w:val="id-ID"/>
        </w:rPr>
        <w:t xml:space="preserve">Sesuai dengan </w:t>
      </w:r>
      <w:r>
        <w:rPr>
          <w:rFonts w:ascii="Tahoma" w:hAnsi="Tahoma" w:cs="Tahoma"/>
        </w:rPr>
        <w:t>v</w:t>
      </w:r>
      <w:r>
        <w:rPr>
          <w:rFonts w:ascii="Tahoma" w:hAnsi="Tahoma" w:cs="Tahoma"/>
          <w:lang w:val="id-ID"/>
        </w:rPr>
        <w:t xml:space="preserve">isi Gubernur dan Wakil Gubernur terpilih, maka visi pembangunan daerah jangka menengah Provinsi Sumatera Barat </w:t>
      </w:r>
      <w:r>
        <w:rPr>
          <w:rFonts w:ascii="Tahoma" w:hAnsi="Tahoma" w:cs="Tahoma"/>
        </w:rPr>
        <w:t>T</w:t>
      </w:r>
      <w:r>
        <w:rPr>
          <w:rFonts w:ascii="Tahoma" w:hAnsi="Tahoma" w:cs="Tahoma"/>
          <w:lang w:val="id-ID"/>
        </w:rPr>
        <w:t xml:space="preserve">ahun 2016-2021 adalah “ </w:t>
      </w:r>
      <w:r>
        <w:rPr>
          <w:rFonts w:ascii="Tahoma" w:hAnsi="Tahoma" w:cs="Tahoma"/>
          <w:b/>
          <w:lang w:val="id-ID"/>
        </w:rPr>
        <w:t>Terwujudnya Sumatera Barat yang Madani dan Sejahtera</w:t>
      </w:r>
      <w:r>
        <w:rPr>
          <w:rFonts w:ascii="Tahoma" w:hAnsi="Tahoma" w:cs="Tahoma"/>
        </w:rPr>
        <w:t xml:space="preserve"> “</w:t>
      </w:r>
      <w:r>
        <w:rPr>
          <w:rFonts w:ascii="Tahoma" w:hAnsi="Tahoma" w:cs="Tahoma"/>
          <w:lang w:val="id-ID"/>
        </w:rPr>
        <w:t xml:space="preserve">, maka diharapkan akan mewujudkan keinginan dan amanat masyarakat Provinsi Sumatera Barat dengan tetap mengacu pada pencapaian tujuan nasional seperti diamanatkan dalam Pembukaan Undang-Undang Dasar 1945 khususnya bagi masyarakat Sumatera Barat, memperhatikan RPJMN, RPJPD Provinsi Sumatera Barat </w:t>
      </w:r>
      <w:r>
        <w:rPr>
          <w:rFonts w:ascii="Tahoma" w:hAnsi="Tahoma" w:cs="Tahoma"/>
        </w:rPr>
        <w:t>T</w:t>
      </w:r>
      <w:r>
        <w:rPr>
          <w:rFonts w:ascii="Tahoma" w:hAnsi="Tahoma" w:cs="Tahoma"/>
          <w:lang w:val="id-ID"/>
        </w:rPr>
        <w:t>ahun 2005-2025. Visi Pembangunan Provinsi Sumatera Barat tersebut harus dapat diukur keberhasilannya dalam rangka mewujudkan Provinsi Sumatera Barat yang madani dan sejahtera.</w:t>
      </w:r>
    </w:p>
    <w:p>
      <w:pPr>
        <w:autoSpaceDE w:val="0"/>
        <w:autoSpaceDN w:val="0"/>
        <w:adjustRightInd w:val="0"/>
        <w:spacing w:after="0" w:line="360" w:lineRule="auto"/>
        <w:ind w:left="440"/>
        <w:jc w:val="both"/>
        <w:rPr>
          <w:rFonts w:ascii="Tahoma" w:hAnsi="Tahoma" w:cs="Tahoma"/>
          <w:bCs/>
        </w:rPr>
      </w:pPr>
      <w:r>
        <w:rPr>
          <w:rFonts w:ascii="Tahoma" w:hAnsi="Tahoma" w:cs="Tahoma"/>
          <w:bCs/>
        </w:rPr>
        <w:t>Visi Pemerintah Daerah Provinsi Sumatera Barat tersebut di atas kemudian dijabarkan di dalam misi pembangunan 2016-2021. Misi tersebut adalah:</w:t>
      </w:r>
    </w:p>
    <w:p>
      <w:pPr>
        <w:numPr>
          <w:ilvl w:val="0"/>
          <w:numId w:val="19"/>
        </w:numPr>
        <w:tabs>
          <w:tab w:val="clear" w:pos="420"/>
        </w:tabs>
        <w:autoSpaceDE w:val="0"/>
        <w:autoSpaceDN w:val="0"/>
        <w:adjustRightInd w:val="0"/>
        <w:spacing w:after="0" w:line="360" w:lineRule="auto"/>
        <w:ind w:left="880" w:leftChars="200" w:hanging="440" w:hangingChars="200"/>
        <w:jc w:val="both"/>
        <w:rPr>
          <w:rFonts w:ascii="Tahoma" w:hAnsi="Tahoma" w:cs="Tahoma"/>
          <w:bCs/>
        </w:rPr>
      </w:pPr>
      <w:r>
        <w:rPr>
          <w:rFonts w:ascii="Tahoma" w:hAnsi="Tahoma" w:cs="Tahoma"/>
          <w:bCs/>
        </w:rPr>
        <w:t>Meningkatkan tata kehidupan yang harmonis, agamais, beradat</w:t>
      </w:r>
      <w:r>
        <w:rPr>
          <w:rFonts w:ascii="Tahoma" w:hAnsi="Tahoma" w:cs="Tahoma"/>
          <w:bCs/>
          <w:lang w:val="id-ID"/>
        </w:rPr>
        <w:t>,</w:t>
      </w:r>
      <w:r>
        <w:rPr>
          <w:rFonts w:ascii="Tahoma" w:hAnsi="Tahoma" w:cs="Tahoma"/>
          <w:bCs/>
        </w:rPr>
        <w:t xml:space="preserve"> dan berbudaya berdasarkan falsafah “</w:t>
      </w:r>
      <w:r>
        <w:rPr>
          <w:rFonts w:ascii="Tahoma" w:hAnsi="Tahoma" w:cs="Tahoma"/>
          <w:bCs/>
          <w:i/>
        </w:rPr>
        <w:t>adat basandi syarak, syarak basandi kitabullah</w:t>
      </w:r>
      <w:r>
        <w:rPr>
          <w:rFonts w:ascii="Tahoma" w:hAnsi="Tahoma" w:cs="Tahoma"/>
          <w:bCs/>
        </w:rPr>
        <w:t xml:space="preserve">”; </w:t>
      </w:r>
    </w:p>
    <w:p>
      <w:pPr>
        <w:numPr>
          <w:ilvl w:val="0"/>
          <w:numId w:val="19"/>
        </w:numPr>
        <w:tabs>
          <w:tab w:val="clear" w:pos="420"/>
        </w:tabs>
        <w:autoSpaceDE w:val="0"/>
        <w:autoSpaceDN w:val="0"/>
        <w:adjustRightInd w:val="0"/>
        <w:spacing w:after="0" w:line="360" w:lineRule="auto"/>
        <w:ind w:left="880" w:leftChars="200" w:hanging="440" w:hangingChars="200"/>
        <w:jc w:val="both"/>
        <w:rPr>
          <w:rFonts w:ascii="Tahoma" w:hAnsi="Tahoma" w:cs="Tahoma"/>
          <w:bCs/>
        </w:rPr>
      </w:pPr>
      <w:r>
        <w:rPr>
          <w:rFonts w:ascii="Tahoma" w:hAnsi="Tahoma" w:cs="Tahoma"/>
          <w:bCs/>
        </w:rPr>
        <w:t>Meningkatkan tata pemerintahan yang baik, bersih</w:t>
      </w:r>
      <w:r>
        <w:rPr>
          <w:rFonts w:ascii="Tahoma" w:hAnsi="Tahoma" w:cs="Tahoma"/>
          <w:bCs/>
          <w:lang w:val="id-ID"/>
        </w:rPr>
        <w:t>,</w:t>
      </w:r>
      <w:r>
        <w:rPr>
          <w:rFonts w:ascii="Tahoma" w:hAnsi="Tahoma" w:cs="Tahoma"/>
          <w:bCs/>
        </w:rPr>
        <w:t xml:space="preserve"> dan profesional; </w:t>
      </w:r>
    </w:p>
    <w:p>
      <w:pPr>
        <w:numPr>
          <w:ilvl w:val="0"/>
          <w:numId w:val="19"/>
        </w:numPr>
        <w:tabs>
          <w:tab w:val="clear" w:pos="420"/>
        </w:tabs>
        <w:autoSpaceDE w:val="0"/>
        <w:autoSpaceDN w:val="0"/>
        <w:adjustRightInd w:val="0"/>
        <w:spacing w:after="0" w:line="360" w:lineRule="auto"/>
        <w:ind w:left="880" w:leftChars="200" w:hanging="440" w:hangingChars="200"/>
        <w:jc w:val="both"/>
        <w:rPr>
          <w:rFonts w:ascii="Tahoma" w:hAnsi="Tahoma" w:cs="Tahoma"/>
          <w:bCs/>
        </w:rPr>
      </w:pPr>
      <w:r>
        <w:rPr>
          <w:rFonts w:ascii="Tahoma" w:hAnsi="Tahoma" w:cs="Tahoma"/>
          <w:bCs/>
        </w:rPr>
        <w:t>Meningkatkan sumberdaya manusia yang cerdas, sehat, beriman, berkarakter</w:t>
      </w:r>
      <w:r>
        <w:rPr>
          <w:rFonts w:ascii="Tahoma" w:hAnsi="Tahoma" w:cs="Tahoma"/>
          <w:bCs/>
          <w:lang w:val="id-ID"/>
        </w:rPr>
        <w:t>,</w:t>
      </w:r>
      <w:r>
        <w:rPr>
          <w:rFonts w:ascii="Tahoma" w:hAnsi="Tahoma" w:cs="Tahoma"/>
          <w:bCs/>
        </w:rPr>
        <w:t xml:space="preserve"> dan berkualitas tinggi; </w:t>
      </w:r>
    </w:p>
    <w:p>
      <w:pPr>
        <w:numPr>
          <w:ilvl w:val="0"/>
          <w:numId w:val="19"/>
        </w:numPr>
        <w:tabs>
          <w:tab w:val="clear" w:pos="420"/>
        </w:tabs>
        <w:autoSpaceDE w:val="0"/>
        <w:autoSpaceDN w:val="0"/>
        <w:adjustRightInd w:val="0"/>
        <w:spacing w:after="0" w:line="360" w:lineRule="auto"/>
        <w:ind w:left="880" w:leftChars="200" w:hanging="440" w:hangingChars="200"/>
        <w:jc w:val="both"/>
        <w:rPr>
          <w:rFonts w:ascii="Tahoma" w:hAnsi="Tahoma" w:cs="Tahoma"/>
          <w:bCs/>
        </w:rPr>
      </w:pPr>
      <w:r>
        <w:rPr>
          <w:rFonts w:ascii="Tahoma" w:hAnsi="Tahoma" w:cs="Tahoma"/>
          <w:bCs/>
        </w:rPr>
        <w:t>Meningkatkan ekonomi masyarakat berbasis kerakyatan yang tangguh, produktif</w:t>
      </w:r>
      <w:r>
        <w:rPr>
          <w:rFonts w:ascii="Tahoma" w:hAnsi="Tahoma" w:cs="Tahoma"/>
          <w:bCs/>
          <w:lang w:val="id-ID"/>
        </w:rPr>
        <w:t>,</w:t>
      </w:r>
      <w:r>
        <w:rPr>
          <w:rFonts w:ascii="Tahoma" w:hAnsi="Tahoma" w:cs="Tahoma"/>
          <w:bCs/>
        </w:rPr>
        <w:t xml:space="preserve"> dan berdaya saing regional dan global dengan mengoptimalkan pemanfaatan sumberdaya pembangunan daerah; </w:t>
      </w:r>
    </w:p>
    <w:p>
      <w:pPr>
        <w:numPr>
          <w:ilvl w:val="0"/>
          <w:numId w:val="19"/>
        </w:numPr>
        <w:tabs>
          <w:tab w:val="clear" w:pos="420"/>
        </w:tabs>
        <w:autoSpaceDE w:val="0"/>
        <w:autoSpaceDN w:val="0"/>
        <w:adjustRightInd w:val="0"/>
        <w:spacing w:after="0" w:line="360" w:lineRule="auto"/>
        <w:ind w:left="880" w:leftChars="200" w:hanging="440" w:hangingChars="200"/>
        <w:jc w:val="both"/>
        <w:rPr>
          <w:rFonts w:ascii="Tahoma" w:hAnsi="Tahoma" w:cs="Tahoma"/>
          <w:bCs/>
        </w:rPr>
      </w:pPr>
      <w:r>
        <w:rPr>
          <w:rFonts w:ascii="Tahoma" w:hAnsi="Tahoma" w:cs="Tahoma"/>
          <w:bCs/>
        </w:rPr>
        <w:t>Meningkatkan infrastruktur dan pembangunan yang berkelanjutan serta berwawasan lingkungan.</w:t>
      </w:r>
    </w:p>
    <w:p>
      <w:pPr>
        <w:autoSpaceDE w:val="0"/>
        <w:autoSpaceDN w:val="0"/>
        <w:adjustRightInd w:val="0"/>
        <w:spacing w:beforeLines="50" w:after="0" w:line="360" w:lineRule="auto"/>
        <w:ind w:left="440"/>
        <w:jc w:val="both"/>
        <w:rPr>
          <w:rFonts w:ascii="Tahoma" w:hAnsi="Tahoma" w:cs="Tahoma"/>
          <w:bCs/>
        </w:rPr>
      </w:pPr>
      <w:r>
        <w:rPr>
          <w:rFonts w:ascii="Tahoma" w:hAnsi="Tahoma" w:cs="Tahoma"/>
          <w:bCs/>
        </w:rPr>
        <w:t>Selanjutnya berdasarkan visi, misi</w:t>
      </w:r>
      <w:r>
        <w:rPr>
          <w:rFonts w:ascii="Tahoma" w:hAnsi="Tahoma" w:cs="Tahoma"/>
          <w:bCs/>
          <w:lang w:val="id-ID"/>
        </w:rPr>
        <w:t>,</w:t>
      </w:r>
      <w:r>
        <w:rPr>
          <w:rFonts w:ascii="Tahoma" w:hAnsi="Tahoma" w:cs="Tahoma"/>
          <w:bCs/>
        </w:rPr>
        <w:t xml:space="preserve"> dan agenda tersebut</w:t>
      </w:r>
      <w:r>
        <w:rPr>
          <w:rFonts w:ascii="Tahoma" w:hAnsi="Tahoma" w:cs="Tahoma"/>
          <w:bCs/>
          <w:lang w:val="id-ID"/>
        </w:rPr>
        <w:t>,</w:t>
      </w:r>
      <w:r>
        <w:rPr>
          <w:rFonts w:ascii="Tahoma" w:hAnsi="Tahoma" w:cs="Tahoma"/>
          <w:bCs/>
        </w:rPr>
        <w:t xml:space="preserve"> Pemerintah Daerah Provinsi Sumatera Barat menetapkan 10 prioritas pembangunan daerah sebagai berikut: </w:t>
      </w:r>
    </w:p>
    <w:p>
      <w:pPr>
        <w:numPr>
          <w:ilvl w:val="0"/>
          <w:numId w:val="20"/>
        </w:numPr>
        <w:autoSpaceDE w:val="0"/>
        <w:autoSpaceDN w:val="0"/>
        <w:adjustRightInd w:val="0"/>
        <w:spacing w:after="0" w:line="360" w:lineRule="auto"/>
        <w:ind w:left="880" w:leftChars="200" w:hanging="440" w:hangingChars="200"/>
        <w:jc w:val="both"/>
        <w:rPr>
          <w:rFonts w:ascii="Tahoma" w:hAnsi="Tahoma" w:cs="Tahoma"/>
          <w:bCs/>
        </w:rPr>
      </w:pPr>
      <w:r>
        <w:rPr>
          <w:rFonts w:ascii="Tahoma" w:hAnsi="Tahoma" w:cs="Tahoma"/>
          <w:bCs/>
        </w:rPr>
        <w:t xml:space="preserve">Pembangunan mental dan pengamalan agama dan </w:t>
      </w:r>
      <w:r>
        <w:rPr>
          <w:rFonts w:ascii="Tahoma" w:hAnsi="Tahoma" w:cs="Tahoma"/>
          <w:bCs/>
          <w:i/>
        </w:rPr>
        <w:t>adat basandi syarak, syarak basandi kitabullah</w:t>
      </w:r>
      <w:r>
        <w:rPr>
          <w:rFonts w:ascii="Tahoma" w:hAnsi="Tahoma" w:cs="Tahoma"/>
          <w:bCs/>
        </w:rPr>
        <w:t xml:space="preserve"> (ABS-SBK) dalam kehidupan masyarakat; </w:t>
      </w:r>
    </w:p>
    <w:p>
      <w:pPr>
        <w:numPr>
          <w:ilvl w:val="0"/>
          <w:numId w:val="20"/>
        </w:numPr>
        <w:autoSpaceDE w:val="0"/>
        <w:autoSpaceDN w:val="0"/>
        <w:adjustRightInd w:val="0"/>
        <w:spacing w:after="0" w:line="360" w:lineRule="auto"/>
        <w:ind w:left="880" w:leftChars="200" w:hanging="440" w:hangingChars="200"/>
        <w:jc w:val="both"/>
        <w:rPr>
          <w:rFonts w:ascii="Tahoma" w:hAnsi="Tahoma" w:cs="Tahoma"/>
          <w:bCs/>
        </w:rPr>
      </w:pPr>
      <w:r>
        <w:rPr>
          <w:rFonts w:ascii="Tahoma" w:hAnsi="Tahoma" w:cs="Tahoma"/>
          <w:bCs/>
        </w:rPr>
        <w:t xml:space="preserve">Pelaksanaan reformasi birokrasi dalam pemerintahan; </w:t>
      </w:r>
    </w:p>
    <w:p>
      <w:pPr>
        <w:numPr>
          <w:ilvl w:val="0"/>
          <w:numId w:val="20"/>
        </w:numPr>
        <w:autoSpaceDE w:val="0"/>
        <w:autoSpaceDN w:val="0"/>
        <w:adjustRightInd w:val="0"/>
        <w:spacing w:after="0" w:line="360" w:lineRule="auto"/>
        <w:ind w:left="880" w:leftChars="200" w:hanging="440" w:hangingChars="200"/>
        <w:jc w:val="both"/>
        <w:rPr>
          <w:rFonts w:ascii="Tahoma" w:hAnsi="Tahoma" w:cs="Tahoma"/>
          <w:bCs/>
        </w:rPr>
      </w:pPr>
      <w:r>
        <w:rPr>
          <w:rFonts w:ascii="Tahoma" w:hAnsi="Tahoma" w:cs="Tahoma"/>
          <w:bCs/>
        </w:rPr>
        <w:t xml:space="preserve">Peningkatan pemerataan dan kualitas pendidikan; </w:t>
      </w:r>
    </w:p>
    <w:p>
      <w:pPr>
        <w:numPr>
          <w:ilvl w:val="0"/>
          <w:numId w:val="20"/>
        </w:numPr>
        <w:autoSpaceDE w:val="0"/>
        <w:autoSpaceDN w:val="0"/>
        <w:adjustRightInd w:val="0"/>
        <w:spacing w:after="0" w:line="360" w:lineRule="auto"/>
        <w:ind w:left="880" w:leftChars="200" w:hanging="440" w:hangingChars="200"/>
        <w:jc w:val="both"/>
        <w:rPr>
          <w:rFonts w:ascii="Tahoma" w:hAnsi="Tahoma" w:cs="Tahoma"/>
          <w:bCs/>
        </w:rPr>
      </w:pPr>
      <w:r>
        <w:rPr>
          <w:rFonts w:ascii="Tahoma" w:hAnsi="Tahoma" w:cs="Tahoma"/>
          <w:bCs/>
        </w:rPr>
        <w:t xml:space="preserve">Peningkatan derajat kesehatan masyarakat; </w:t>
      </w:r>
    </w:p>
    <w:p>
      <w:pPr>
        <w:numPr>
          <w:ilvl w:val="0"/>
          <w:numId w:val="20"/>
        </w:numPr>
        <w:autoSpaceDE w:val="0"/>
        <w:autoSpaceDN w:val="0"/>
        <w:adjustRightInd w:val="0"/>
        <w:spacing w:after="0" w:line="360" w:lineRule="auto"/>
        <w:ind w:left="880" w:leftChars="200" w:hanging="440" w:hangingChars="200"/>
        <w:jc w:val="both"/>
        <w:rPr>
          <w:rFonts w:ascii="Tahoma" w:hAnsi="Tahoma" w:cs="Tahoma"/>
          <w:bCs/>
        </w:rPr>
      </w:pPr>
      <w:r>
        <w:rPr>
          <w:rFonts w:ascii="Tahoma" w:hAnsi="Tahoma" w:cs="Tahoma"/>
          <w:bCs/>
        </w:rPr>
        <w:t xml:space="preserve">Peningkatan produksi untuk mendukung kedaulatan pangan nasional dan pengembangan agribisnis; </w:t>
      </w:r>
    </w:p>
    <w:p>
      <w:pPr>
        <w:numPr>
          <w:ilvl w:val="0"/>
          <w:numId w:val="20"/>
        </w:numPr>
        <w:autoSpaceDE w:val="0"/>
        <w:autoSpaceDN w:val="0"/>
        <w:adjustRightInd w:val="0"/>
        <w:spacing w:after="0" w:line="360" w:lineRule="auto"/>
        <w:ind w:left="880" w:leftChars="200" w:hanging="440" w:hangingChars="200"/>
        <w:jc w:val="both"/>
        <w:rPr>
          <w:rFonts w:ascii="Tahoma" w:hAnsi="Tahoma" w:cs="Tahoma"/>
          <w:bCs/>
        </w:rPr>
      </w:pPr>
      <w:r>
        <w:rPr>
          <w:rFonts w:ascii="Tahoma" w:hAnsi="Tahoma" w:cs="Tahoma"/>
          <w:bCs/>
        </w:rPr>
        <w:t>Pengembangan pariwisata, industri, perdagangan, koperasi, UMKM</w:t>
      </w:r>
      <w:r>
        <w:rPr>
          <w:rFonts w:ascii="Tahoma" w:hAnsi="Tahoma" w:cs="Tahoma"/>
          <w:bCs/>
          <w:lang w:val="id-ID"/>
        </w:rPr>
        <w:t>,</w:t>
      </w:r>
      <w:r>
        <w:rPr>
          <w:rFonts w:ascii="Tahoma" w:hAnsi="Tahoma" w:cs="Tahoma"/>
          <w:bCs/>
        </w:rPr>
        <w:t xml:space="preserve"> dan </w:t>
      </w:r>
      <w:r>
        <w:rPr>
          <w:rFonts w:ascii="Tahoma" w:hAnsi="Tahoma" w:cs="Tahoma"/>
          <w:bCs/>
          <w:lang w:val="id-ID"/>
        </w:rPr>
        <w:t>p</w:t>
      </w:r>
      <w:r>
        <w:rPr>
          <w:rFonts w:ascii="Tahoma" w:hAnsi="Tahoma" w:cs="Tahoma"/>
          <w:bCs/>
        </w:rPr>
        <w:t xml:space="preserve">eningkatan investasi; </w:t>
      </w:r>
    </w:p>
    <w:p>
      <w:pPr>
        <w:numPr>
          <w:ilvl w:val="0"/>
          <w:numId w:val="20"/>
        </w:numPr>
        <w:autoSpaceDE w:val="0"/>
        <w:autoSpaceDN w:val="0"/>
        <w:adjustRightInd w:val="0"/>
        <w:spacing w:after="0" w:line="360" w:lineRule="auto"/>
        <w:ind w:left="880" w:leftChars="200" w:hanging="440" w:hangingChars="200"/>
        <w:jc w:val="both"/>
        <w:rPr>
          <w:rFonts w:ascii="Tahoma" w:hAnsi="Tahoma" w:cs="Tahoma"/>
          <w:bCs/>
        </w:rPr>
      </w:pPr>
      <w:r>
        <w:rPr>
          <w:rFonts w:ascii="Tahoma" w:hAnsi="Tahoma" w:cs="Tahoma"/>
          <w:bCs/>
        </w:rPr>
        <w:t xml:space="preserve">Peningkatan pemanfaatan potensi kemaritiman dan kelautan; </w:t>
      </w:r>
    </w:p>
    <w:p>
      <w:pPr>
        <w:numPr>
          <w:ilvl w:val="0"/>
          <w:numId w:val="20"/>
        </w:numPr>
        <w:autoSpaceDE w:val="0"/>
        <w:autoSpaceDN w:val="0"/>
        <w:adjustRightInd w:val="0"/>
        <w:spacing w:after="0" w:line="360" w:lineRule="auto"/>
        <w:ind w:left="880" w:leftChars="200" w:hanging="440" w:hangingChars="200"/>
        <w:jc w:val="both"/>
        <w:rPr>
          <w:rFonts w:ascii="Tahoma" w:hAnsi="Tahoma" w:cs="Tahoma"/>
          <w:bCs/>
        </w:rPr>
      </w:pPr>
      <w:r>
        <w:rPr>
          <w:rFonts w:ascii="Tahoma" w:hAnsi="Tahoma" w:cs="Tahoma"/>
          <w:bCs/>
        </w:rPr>
        <w:t xml:space="preserve">Penurunan tingkat kemiskinan dan pengangguran serta penanganan daerah tertinggal; </w:t>
      </w:r>
    </w:p>
    <w:p>
      <w:pPr>
        <w:numPr>
          <w:ilvl w:val="0"/>
          <w:numId w:val="20"/>
        </w:numPr>
        <w:autoSpaceDE w:val="0"/>
        <w:autoSpaceDN w:val="0"/>
        <w:adjustRightInd w:val="0"/>
        <w:spacing w:after="0" w:line="360" w:lineRule="auto"/>
        <w:ind w:left="880" w:leftChars="200" w:hanging="440" w:hangingChars="200"/>
        <w:jc w:val="both"/>
        <w:rPr>
          <w:rFonts w:ascii="Tahoma" w:hAnsi="Tahoma" w:cs="Tahoma"/>
          <w:bCs/>
        </w:rPr>
      </w:pPr>
      <w:r>
        <w:rPr>
          <w:rFonts w:ascii="Tahoma" w:hAnsi="Tahoma" w:cs="Tahoma"/>
          <w:bCs/>
        </w:rPr>
        <w:t xml:space="preserve">Pengembangan sumber energi baru dan terbarukan serta pembangunan infrastruktur; </w:t>
      </w:r>
    </w:p>
    <w:p>
      <w:pPr>
        <w:numPr>
          <w:ilvl w:val="0"/>
          <w:numId w:val="20"/>
        </w:numPr>
        <w:autoSpaceDE w:val="0"/>
        <w:autoSpaceDN w:val="0"/>
        <w:adjustRightInd w:val="0"/>
        <w:spacing w:afterLines="150" w:line="360" w:lineRule="auto"/>
        <w:ind w:left="880" w:leftChars="200" w:hanging="440" w:hangingChars="200"/>
        <w:jc w:val="both"/>
        <w:rPr>
          <w:rFonts w:ascii="Tahoma" w:hAnsi="Tahoma" w:cs="Tahoma"/>
          <w:bCs/>
          <w:lang w:val="id-ID"/>
        </w:rPr>
      </w:pPr>
      <w:r>
        <w:rPr>
          <w:rFonts w:ascii="Tahoma" w:hAnsi="Tahoma" w:cs="Tahoma"/>
          <w:bCs/>
        </w:rPr>
        <w:t>Pelestarian lingkungan hidup dan penanggulangan bencana.</w:t>
      </w:r>
    </w:p>
    <w:p>
      <w:pPr>
        <w:spacing w:afterLines="50" w:line="240" w:lineRule="auto"/>
        <w:jc w:val="center"/>
        <w:rPr>
          <w:rFonts w:ascii="Tahoma" w:hAnsi="Tahoma" w:cs="Tahoma"/>
          <w:b/>
          <w:bCs/>
        </w:rPr>
      </w:pPr>
      <w:r>
        <w:rPr>
          <w:rFonts w:ascii="Tahoma" w:hAnsi="Tahoma" w:cs="Tahoma"/>
          <w:b/>
          <w:bCs/>
          <w:lang w:val="id-ID"/>
        </w:rPr>
        <w:t xml:space="preserve">Tabel </w:t>
      </w:r>
      <w:r>
        <w:rPr>
          <w:rFonts w:ascii="Tahoma" w:hAnsi="Tahoma" w:cs="Tahoma"/>
          <w:b/>
          <w:bCs/>
        </w:rPr>
        <w:t>1</w:t>
      </w:r>
      <w:r>
        <w:rPr>
          <w:rFonts w:ascii="Tahoma" w:hAnsi="Tahoma" w:cs="Tahoma"/>
          <w:b/>
          <w:bCs/>
          <w:lang w:val="id-ID"/>
        </w:rPr>
        <w:t>.</w:t>
      </w:r>
      <w:r>
        <w:rPr>
          <w:rFonts w:ascii="Tahoma" w:hAnsi="Tahoma" w:cs="Tahoma"/>
          <w:b/>
          <w:bCs/>
        </w:rPr>
        <w:t>2</w:t>
      </w:r>
    </w:p>
    <w:p>
      <w:pPr>
        <w:spacing w:after="0" w:line="240" w:lineRule="auto"/>
        <w:jc w:val="center"/>
        <w:rPr>
          <w:rFonts w:ascii="Tahoma" w:hAnsi="Tahoma" w:cs="Tahoma"/>
          <w:b/>
          <w:bCs/>
        </w:rPr>
      </w:pPr>
      <w:r>
        <w:rPr>
          <w:rFonts w:ascii="Tahoma" w:hAnsi="Tahoma" w:cs="Tahoma"/>
          <w:b/>
          <w:bCs/>
        </w:rPr>
        <w:t>Keterkaitan RPJMD dengan Badan Keuangan Daerah Provinsi Sumatera Barat</w:t>
      </w:r>
    </w:p>
    <w:p>
      <w:pPr>
        <w:spacing w:after="0"/>
        <w:ind w:firstLine="567"/>
        <w:jc w:val="center"/>
        <w:rPr>
          <w:rFonts w:eastAsia="Batang" w:cs="Calibri"/>
          <w:lang w:val="id-ID"/>
        </w:rPr>
      </w:pPr>
    </w:p>
    <w:tbl>
      <w:tblPr>
        <w:tblStyle w:val="7"/>
        <w:tblW w:w="9043" w:type="dxa"/>
        <w:tblInd w:w="182" w:type="dxa"/>
        <w:tblLayout w:type="fixed"/>
        <w:tblCellMar>
          <w:top w:w="0" w:type="dxa"/>
          <w:left w:w="0" w:type="dxa"/>
          <w:bottom w:w="0" w:type="dxa"/>
          <w:right w:w="0" w:type="dxa"/>
        </w:tblCellMar>
      </w:tblPr>
      <w:tblGrid>
        <w:gridCol w:w="1809"/>
        <w:gridCol w:w="2243"/>
        <w:gridCol w:w="25"/>
        <w:gridCol w:w="1959"/>
        <w:gridCol w:w="1507"/>
        <w:gridCol w:w="1500"/>
      </w:tblGrid>
      <w:tr>
        <w:tblPrEx>
          <w:tblCellMar>
            <w:top w:w="0" w:type="dxa"/>
            <w:left w:w="0" w:type="dxa"/>
            <w:bottom w:w="0" w:type="dxa"/>
            <w:right w:w="0" w:type="dxa"/>
          </w:tblCellMar>
        </w:tblPrEx>
        <w:trPr>
          <w:trHeight w:val="444" w:hRule="atLeast"/>
        </w:trPr>
        <w:tc>
          <w:tcPr>
            <w:tcW w:w="1809" w:type="dxa"/>
            <w:tcBorders>
              <w:top w:val="single" w:color="000000" w:sz="8" w:space="0"/>
              <w:left w:val="single" w:color="000000" w:sz="8" w:space="0"/>
              <w:bottom w:val="single" w:color="000000" w:sz="8" w:space="0"/>
              <w:right w:val="single" w:color="000000" w:sz="8" w:space="0"/>
            </w:tcBorders>
            <w:shd w:val="clear" w:color="auto" w:fill="C7DAF1" w:themeFill="text2" w:themeFillTint="32"/>
            <w:tcMar>
              <w:top w:w="14" w:type="dxa"/>
              <w:left w:w="108" w:type="dxa"/>
              <w:bottom w:w="0" w:type="dxa"/>
              <w:right w:w="108" w:type="dxa"/>
            </w:tcMar>
            <w:vAlign w:val="center"/>
          </w:tcPr>
          <w:p>
            <w:pPr>
              <w:spacing w:after="240"/>
              <w:jc w:val="center"/>
              <w:rPr>
                <w:rFonts w:ascii="Tahoma" w:hAnsi="Tahoma" w:eastAsia="Batang" w:cs="Tahoma"/>
                <w:lang w:val="id-ID"/>
              </w:rPr>
            </w:pPr>
            <w:r>
              <w:rPr>
                <w:rFonts w:ascii="Tahoma" w:hAnsi="Tahoma" w:eastAsia="Batang" w:cs="Tahoma"/>
                <w:b/>
                <w:bCs/>
              </w:rPr>
              <w:t>SASARAN</w:t>
            </w:r>
          </w:p>
        </w:tc>
        <w:tc>
          <w:tcPr>
            <w:tcW w:w="2268" w:type="dxa"/>
            <w:gridSpan w:val="2"/>
            <w:tcBorders>
              <w:top w:val="single" w:color="000000" w:sz="8" w:space="0"/>
              <w:left w:val="single" w:color="000000" w:sz="8" w:space="0"/>
              <w:bottom w:val="single" w:color="000000" w:sz="8" w:space="0"/>
              <w:right w:val="single" w:color="000000" w:sz="8" w:space="0"/>
            </w:tcBorders>
            <w:shd w:val="clear" w:color="auto" w:fill="C7DAF1" w:themeFill="text2" w:themeFillTint="32"/>
            <w:tcMar>
              <w:top w:w="14" w:type="dxa"/>
              <w:left w:w="108" w:type="dxa"/>
              <w:bottom w:w="0" w:type="dxa"/>
              <w:right w:w="108" w:type="dxa"/>
            </w:tcMar>
            <w:vAlign w:val="center"/>
          </w:tcPr>
          <w:p>
            <w:pPr>
              <w:spacing w:after="240"/>
              <w:jc w:val="center"/>
              <w:rPr>
                <w:rFonts w:ascii="Tahoma" w:hAnsi="Tahoma" w:eastAsia="Batang" w:cs="Tahoma"/>
                <w:lang w:val="id-ID"/>
              </w:rPr>
            </w:pPr>
            <w:r>
              <w:rPr>
                <w:rFonts w:ascii="Tahoma" w:hAnsi="Tahoma" w:eastAsia="Batang" w:cs="Tahoma"/>
                <w:b/>
                <w:bCs/>
              </w:rPr>
              <w:t>ARAH KEBIJAKAN</w:t>
            </w:r>
          </w:p>
        </w:tc>
        <w:tc>
          <w:tcPr>
            <w:tcW w:w="1959" w:type="dxa"/>
            <w:tcBorders>
              <w:top w:val="single" w:color="000000" w:sz="8" w:space="0"/>
              <w:left w:val="single" w:color="000000" w:sz="8" w:space="0"/>
              <w:bottom w:val="single" w:color="000000" w:sz="8" w:space="0"/>
              <w:right w:val="single" w:color="000000" w:sz="8" w:space="0"/>
            </w:tcBorders>
            <w:shd w:val="clear" w:color="auto" w:fill="C7DAF1" w:themeFill="text2" w:themeFillTint="32"/>
            <w:tcMar>
              <w:top w:w="14" w:type="dxa"/>
              <w:left w:w="108" w:type="dxa"/>
              <w:bottom w:w="0" w:type="dxa"/>
              <w:right w:w="108" w:type="dxa"/>
            </w:tcMar>
            <w:vAlign w:val="center"/>
          </w:tcPr>
          <w:p>
            <w:pPr>
              <w:spacing w:after="240"/>
              <w:jc w:val="center"/>
              <w:rPr>
                <w:rFonts w:ascii="Tahoma" w:hAnsi="Tahoma" w:eastAsia="Batang" w:cs="Tahoma"/>
                <w:sz w:val="24"/>
                <w:szCs w:val="24"/>
                <w:lang w:val="id-ID"/>
              </w:rPr>
            </w:pPr>
            <w:r>
              <w:rPr>
                <w:rFonts w:ascii="Tahoma" w:hAnsi="Tahoma" w:eastAsia="Batang" w:cs="Tahoma"/>
                <w:b/>
                <w:bCs/>
                <w:sz w:val="24"/>
                <w:szCs w:val="24"/>
              </w:rPr>
              <w:t>PROGRAM PRIORITAS</w:t>
            </w:r>
          </w:p>
        </w:tc>
        <w:tc>
          <w:tcPr>
            <w:tcW w:w="1507" w:type="dxa"/>
            <w:tcBorders>
              <w:top w:val="single" w:color="000000" w:sz="8" w:space="0"/>
              <w:left w:val="single" w:color="000000" w:sz="8" w:space="0"/>
              <w:bottom w:val="single" w:color="000000" w:sz="8" w:space="0"/>
              <w:right w:val="single" w:color="000000" w:sz="8" w:space="0"/>
            </w:tcBorders>
            <w:shd w:val="clear" w:color="auto" w:fill="C7DAF1" w:themeFill="text2" w:themeFillTint="32"/>
            <w:tcMar>
              <w:top w:w="14" w:type="dxa"/>
              <w:left w:w="108" w:type="dxa"/>
              <w:bottom w:w="0" w:type="dxa"/>
              <w:right w:w="108" w:type="dxa"/>
            </w:tcMar>
            <w:vAlign w:val="center"/>
          </w:tcPr>
          <w:p>
            <w:pPr>
              <w:spacing w:after="240"/>
              <w:jc w:val="center"/>
              <w:rPr>
                <w:rFonts w:ascii="Tahoma" w:hAnsi="Tahoma" w:eastAsia="Batang" w:cs="Tahoma"/>
                <w:sz w:val="24"/>
                <w:szCs w:val="24"/>
                <w:lang w:val="id-ID"/>
              </w:rPr>
            </w:pPr>
            <w:r>
              <w:rPr>
                <w:rFonts w:ascii="Tahoma" w:hAnsi="Tahoma" w:eastAsia="Batang" w:cs="Tahoma"/>
                <w:b/>
                <w:bCs/>
                <w:sz w:val="24"/>
                <w:szCs w:val="24"/>
              </w:rPr>
              <w:t>URUSAN</w:t>
            </w:r>
          </w:p>
        </w:tc>
        <w:tc>
          <w:tcPr>
            <w:tcW w:w="1500" w:type="dxa"/>
            <w:tcBorders>
              <w:top w:val="single" w:color="000000" w:sz="8" w:space="0"/>
              <w:left w:val="single" w:color="000000" w:sz="8" w:space="0"/>
              <w:bottom w:val="single" w:color="000000" w:sz="8" w:space="0"/>
              <w:right w:val="single" w:color="000000" w:sz="8" w:space="0"/>
            </w:tcBorders>
            <w:shd w:val="clear" w:color="auto" w:fill="C7DAF1" w:themeFill="text2" w:themeFillTint="32"/>
            <w:tcMar>
              <w:top w:w="14" w:type="dxa"/>
              <w:left w:w="108" w:type="dxa"/>
              <w:bottom w:w="0" w:type="dxa"/>
              <w:right w:w="108" w:type="dxa"/>
            </w:tcMar>
            <w:vAlign w:val="center"/>
          </w:tcPr>
          <w:p>
            <w:pPr>
              <w:spacing w:after="240"/>
              <w:jc w:val="center"/>
              <w:rPr>
                <w:rFonts w:ascii="Tahoma" w:hAnsi="Tahoma" w:eastAsia="Batang" w:cs="Tahoma"/>
                <w:sz w:val="24"/>
                <w:szCs w:val="24"/>
                <w:lang w:val="id-ID"/>
              </w:rPr>
            </w:pPr>
            <w:r>
              <w:rPr>
                <w:rFonts w:ascii="Tahoma" w:hAnsi="Tahoma" w:eastAsia="Batang" w:cs="Tahoma"/>
                <w:b/>
                <w:bCs/>
                <w:sz w:val="24"/>
                <w:szCs w:val="24"/>
              </w:rPr>
              <w:t>SKPD</w:t>
            </w:r>
          </w:p>
        </w:tc>
      </w:tr>
      <w:tr>
        <w:tblPrEx>
          <w:tblCellMar>
            <w:top w:w="0" w:type="dxa"/>
            <w:left w:w="0" w:type="dxa"/>
            <w:bottom w:w="0" w:type="dxa"/>
            <w:right w:w="0" w:type="dxa"/>
          </w:tblCellMar>
        </w:tblPrEx>
        <w:trPr>
          <w:trHeight w:val="444" w:hRule="atLeast"/>
        </w:trPr>
        <w:tc>
          <w:tcPr>
            <w:tcW w:w="9043" w:type="dxa"/>
            <w:gridSpan w:val="6"/>
            <w:tcBorders>
              <w:top w:val="single" w:color="000000" w:sz="8" w:space="0"/>
              <w:left w:val="single" w:color="000000" w:sz="8" w:space="0"/>
              <w:bottom w:val="single" w:color="000000" w:sz="8" w:space="0"/>
              <w:right w:val="single" w:color="000000" w:sz="8" w:space="0"/>
            </w:tcBorders>
            <w:shd w:val="clear" w:color="auto" w:fill="FFFCF2"/>
            <w:tcMar>
              <w:top w:w="14" w:type="dxa"/>
              <w:left w:w="108" w:type="dxa"/>
              <w:bottom w:w="0" w:type="dxa"/>
              <w:right w:w="108" w:type="dxa"/>
            </w:tcMar>
            <w:vAlign w:val="center"/>
          </w:tcPr>
          <w:p>
            <w:pPr>
              <w:spacing w:after="240"/>
              <w:ind w:right="-416" w:rightChars="-189"/>
              <w:rPr>
                <w:rFonts w:ascii="Tahoma" w:hAnsi="Tahoma" w:eastAsia="Batang" w:cs="Tahoma"/>
                <w:b/>
                <w:bCs/>
                <w:lang w:val="id-ID"/>
              </w:rPr>
            </w:pPr>
            <w:r>
              <w:rPr>
                <w:rFonts w:ascii="Tahoma" w:hAnsi="Tahoma" w:eastAsia="Batang" w:cs="Tahoma"/>
                <w:b/>
                <w:bCs/>
                <w:lang w:val="id-ID"/>
              </w:rPr>
              <w:t>Misi 2 : Meningkatnya tata pemerintahan yang baik, bersih dan profesional</w:t>
            </w:r>
          </w:p>
          <w:p>
            <w:pPr>
              <w:spacing w:after="240"/>
              <w:rPr>
                <w:rFonts w:ascii="Tahoma" w:hAnsi="Tahoma" w:eastAsia="Batang" w:cs="Tahoma"/>
                <w:b/>
                <w:bCs/>
                <w:lang w:val="id-ID"/>
              </w:rPr>
            </w:pPr>
            <w:r>
              <w:rPr>
                <w:rFonts w:ascii="Tahoma" w:hAnsi="Tahoma" w:eastAsia="Batang" w:cs="Tahoma"/>
                <w:b/>
                <w:bCs/>
                <w:lang w:val="id-ID"/>
              </w:rPr>
              <w:t>Prioritas 2 : Pelaksanaan reformasi birokrasi dalam pemerintahan</w:t>
            </w:r>
          </w:p>
        </w:tc>
      </w:tr>
      <w:tr>
        <w:tblPrEx>
          <w:tblCellMar>
            <w:top w:w="0" w:type="dxa"/>
            <w:left w:w="0" w:type="dxa"/>
            <w:bottom w:w="0" w:type="dxa"/>
            <w:right w:w="0" w:type="dxa"/>
          </w:tblCellMar>
        </w:tblPrEx>
        <w:trPr>
          <w:trHeight w:val="90" w:hRule="atLeast"/>
        </w:trPr>
        <w:tc>
          <w:tcPr>
            <w:tcW w:w="1809" w:type="dxa"/>
            <w:tcBorders>
              <w:top w:val="single" w:color="000000" w:sz="8" w:space="0"/>
              <w:left w:val="single" w:color="000000" w:sz="8" w:space="0"/>
              <w:bottom w:val="single" w:color="000000" w:sz="8" w:space="0"/>
              <w:right w:val="single" w:color="000000" w:sz="8" w:space="0"/>
            </w:tcBorders>
            <w:shd w:val="clear" w:color="auto" w:fill="FFFCF2"/>
            <w:tcMar>
              <w:top w:w="14" w:type="dxa"/>
              <w:left w:w="108" w:type="dxa"/>
              <w:bottom w:w="0" w:type="dxa"/>
              <w:right w:w="108" w:type="dxa"/>
            </w:tcMar>
          </w:tcPr>
          <w:p>
            <w:pPr>
              <w:spacing w:after="0" w:line="240" w:lineRule="auto"/>
              <w:rPr>
                <w:rFonts w:ascii="Tahoma" w:hAnsi="Tahoma" w:eastAsia="Batang" w:cs="Tahoma"/>
                <w:sz w:val="20"/>
                <w:szCs w:val="20"/>
                <w:lang w:val="id-ID"/>
              </w:rPr>
            </w:pPr>
            <w:r>
              <w:rPr>
                <w:rFonts w:ascii="Tahoma" w:hAnsi="Tahoma" w:eastAsia="Batang" w:cs="Tahoma"/>
                <w:sz w:val="20"/>
                <w:szCs w:val="20"/>
                <w:lang w:val="id-ID"/>
              </w:rPr>
              <w:t xml:space="preserve">Meningkatnya transparansi dan akuntabilitas penyelenggaraan pemerintahan </w:t>
            </w:r>
          </w:p>
        </w:tc>
        <w:tc>
          <w:tcPr>
            <w:tcW w:w="2243" w:type="dxa"/>
            <w:tcBorders>
              <w:top w:val="single" w:color="000000" w:sz="8" w:space="0"/>
              <w:left w:val="single" w:color="000000" w:sz="8" w:space="0"/>
              <w:bottom w:val="single" w:color="000000" w:sz="8" w:space="0"/>
              <w:right w:val="single" w:color="000000" w:sz="8" w:space="0"/>
            </w:tcBorders>
            <w:shd w:val="clear" w:color="auto" w:fill="FFFCF2"/>
            <w:tcMar>
              <w:top w:w="14" w:type="dxa"/>
              <w:left w:w="108" w:type="dxa"/>
              <w:bottom w:w="0" w:type="dxa"/>
              <w:right w:w="108" w:type="dxa"/>
            </w:tcMar>
          </w:tcPr>
          <w:p>
            <w:pPr>
              <w:numPr>
                <w:ilvl w:val="0"/>
                <w:numId w:val="21"/>
              </w:numPr>
              <w:tabs>
                <w:tab w:val="left" w:pos="317"/>
                <w:tab w:val="clear" w:pos="720"/>
              </w:tabs>
              <w:spacing w:after="0" w:line="240" w:lineRule="auto"/>
              <w:ind w:left="317" w:hanging="283"/>
              <w:rPr>
                <w:rFonts w:ascii="Tahoma" w:hAnsi="Tahoma" w:eastAsia="Batang" w:cs="Tahoma"/>
                <w:sz w:val="20"/>
                <w:szCs w:val="20"/>
                <w:lang w:val="id-ID"/>
              </w:rPr>
            </w:pPr>
            <w:r>
              <w:rPr>
                <w:rFonts w:ascii="Tahoma" w:hAnsi="Tahoma" w:eastAsia="Batang" w:cs="Tahoma"/>
                <w:sz w:val="20"/>
                <w:szCs w:val="20"/>
                <w:lang w:val="id-ID"/>
              </w:rPr>
              <w:t>Penyusunan Peraturan Pengelolaan Pendapatan Daerah</w:t>
            </w:r>
          </w:p>
          <w:p>
            <w:pPr>
              <w:numPr>
                <w:ilvl w:val="0"/>
                <w:numId w:val="21"/>
              </w:numPr>
              <w:tabs>
                <w:tab w:val="left" w:pos="317"/>
                <w:tab w:val="clear" w:pos="720"/>
              </w:tabs>
              <w:spacing w:after="0" w:line="240" w:lineRule="auto"/>
              <w:ind w:left="317" w:hanging="283"/>
              <w:rPr>
                <w:rFonts w:ascii="Tahoma" w:hAnsi="Tahoma" w:eastAsia="Batang" w:cs="Tahoma"/>
                <w:sz w:val="20"/>
                <w:szCs w:val="20"/>
                <w:lang w:val="id-ID"/>
              </w:rPr>
            </w:pPr>
            <w:r>
              <w:rPr>
                <w:rFonts w:ascii="Tahoma" w:hAnsi="Tahoma" w:eastAsia="Batang" w:cs="Tahoma"/>
                <w:sz w:val="20"/>
                <w:szCs w:val="20"/>
                <w:lang w:val="id-ID"/>
              </w:rPr>
              <w:t>Peningkatan efektivitas dan efisiensi pengelolaan keuangan daerah</w:t>
            </w:r>
          </w:p>
          <w:p>
            <w:pPr>
              <w:numPr>
                <w:ilvl w:val="0"/>
                <w:numId w:val="21"/>
              </w:numPr>
              <w:tabs>
                <w:tab w:val="left" w:pos="317"/>
                <w:tab w:val="clear" w:pos="720"/>
              </w:tabs>
              <w:spacing w:after="0" w:line="240" w:lineRule="auto"/>
              <w:ind w:left="317" w:hanging="283"/>
              <w:rPr>
                <w:rFonts w:ascii="Tahoma" w:hAnsi="Tahoma" w:eastAsia="Batang" w:cs="Tahoma"/>
                <w:sz w:val="20"/>
                <w:szCs w:val="20"/>
                <w:lang w:val="id-ID"/>
              </w:rPr>
            </w:pPr>
            <w:r>
              <w:rPr>
                <w:rFonts w:ascii="Tahoma" w:hAnsi="Tahoma" w:eastAsia="Batang" w:cs="Tahoma"/>
                <w:sz w:val="20"/>
                <w:szCs w:val="20"/>
                <w:lang w:val="id-ID"/>
              </w:rPr>
              <w:t>Pengembangan sistem informasi pengelolaan keuangan daerah</w:t>
            </w:r>
          </w:p>
          <w:p>
            <w:pPr>
              <w:numPr>
                <w:ilvl w:val="0"/>
                <w:numId w:val="21"/>
              </w:numPr>
              <w:tabs>
                <w:tab w:val="left" w:pos="317"/>
                <w:tab w:val="clear" w:pos="720"/>
              </w:tabs>
              <w:spacing w:after="0" w:line="240" w:lineRule="auto"/>
              <w:ind w:left="317" w:hanging="283"/>
              <w:rPr>
                <w:rFonts w:ascii="Tahoma" w:hAnsi="Tahoma" w:eastAsia="Batang" w:cs="Tahoma"/>
                <w:sz w:val="20"/>
                <w:szCs w:val="20"/>
                <w:lang w:val="id-ID"/>
              </w:rPr>
            </w:pPr>
            <w:r>
              <w:rPr>
                <w:rFonts w:ascii="Tahoma" w:hAnsi="Tahoma" w:eastAsia="Batang" w:cs="Tahoma"/>
                <w:sz w:val="20"/>
                <w:szCs w:val="20"/>
                <w:lang w:val="id-ID"/>
              </w:rPr>
              <w:t>Peningkatan kompetensi aparatur pengelolan keuangan daerah</w:t>
            </w:r>
          </w:p>
          <w:p>
            <w:pPr>
              <w:numPr>
                <w:ilvl w:val="0"/>
                <w:numId w:val="21"/>
              </w:numPr>
              <w:tabs>
                <w:tab w:val="left" w:pos="317"/>
                <w:tab w:val="clear" w:pos="720"/>
              </w:tabs>
              <w:spacing w:after="0" w:line="240" w:lineRule="auto"/>
              <w:ind w:left="317" w:hanging="283"/>
              <w:rPr>
                <w:rFonts w:ascii="Tahoma" w:hAnsi="Tahoma" w:eastAsia="Batang" w:cs="Tahoma"/>
                <w:sz w:val="20"/>
                <w:szCs w:val="20"/>
                <w:lang w:val="id-ID"/>
              </w:rPr>
            </w:pPr>
            <w:r>
              <w:rPr>
                <w:rFonts w:ascii="Tahoma" w:hAnsi="Tahoma" w:eastAsia="Batang" w:cs="Tahoma"/>
                <w:sz w:val="20"/>
                <w:szCs w:val="20"/>
                <w:lang w:val="id-ID"/>
              </w:rPr>
              <w:t>Pelaksanaan pembinaan pengelolaan keuangan daerah Kab/Kota yang sesuai dengan peraturan perundangan yang berlaku</w:t>
            </w:r>
          </w:p>
        </w:tc>
        <w:tc>
          <w:tcPr>
            <w:tcW w:w="1984" w:type="dxa"/>
            <w:gridSpan w:val="2"/>
            <w:tcBorders>
              <w:top w:val="single" w:color="000000" w:sz="8" w:space="0"/>
              <w:left w:val="single" w:color="000000" w:sz="8" w:space="0"/>
              <w:bottom w:val="single" w:color="000000" w:sz="8" w:space="0"/>
              <w:right w:val="single" w:color="000000" w:sz="8" w:space="0"/>
            </w:tcBorders>
            <w:shd w:val="clear" w:color="auto" w:fill="FFFCF2"/>
            <w:tcMar>
              <w:top w:w="14" w:type="dxa"/>
              <w:left w:w="108" w:type="dxa"/>
              <w:bottom w:w="0" w:type="dxa"/>
              <w:right w:w="108" w:type="dxa"/>
            </w:tcMar>
          </w:tcPr>
          <w:p>
            <w:pPr>
              <w:numPr>
                <w:ilvl w:val="0"/>
                <w:numId w:val="22"/>
              </w:numPr>
              <w:tabs>
                <w:tab w:val="left" w:pos="317"/>
                <w:tab w:val="clear" w:pos="720"/>
              </w:tabs>
              <w:spacing w:after="0" w:line="240" w:lineRule="auto"/>
              <w:ind w:left="317" w:hanging="283"/>
              <w:rPr>
                <w:rFonts w:ascii="Tahoma" w:hAnsi="Tahoma" w:eastAsia="Batang" w:cs="Tahoma"/>
                <w:sz w:val="20"/>
                <w:szCs w:val="20"/>
                <w:lang w:val="id-ID"/>
              </w:rPr>
            </w:pPr>
            <w:r>
              <w:rPr>
                <w:rFonts w:ascii="Tahoma" w:hAnsi="Tahoma" w:eastAsia="Batang" w:cs="Tahoma"/>
                <w:sz w:val="20"/>
                <w:szCs w:val="20"/>
                <w:lang w:val="id-ID"/>
              </w:rPr>
              <w:t xml:space="preserve">Peningkatan pendapatan daerah </w:t>
            </w:r>
          </w:p>
          <w:p>
            <w:pPr>
              <w:numPr>
                <w:ilvl w:val="0"/>
                <w:numId w:val="22"/>
              </w:numPr>
              <w:tabs>
                <w:tab w:val="left" w:pos="317"/>
                <w:tab w:val="clear" w:pos="720"/>
              </w:tabs>
              <w:spacing w:after="0" w:line="240" w:lineRule="auto"/>
              <w:ind w:left="317" w:hanging="283"/>
              <w:rPr>
                <w:rFonts w:ascii="Tahoma" w:hAnsi="Tahoma" w:eastAsia="Batang" w:cs="Tahoma"/>
                <w:sz w:val="20"/>
                <w:szCs w:val="20"/>
                <w:lang w:val="id-ID"/>
              </w:rPr>
            </w:pPr>
            <w:r>
              <w:rPr>
                <w:rFonts w:ascii="Tahoma" w:hAnsi="Tahoma" w:eastAsia="Batang" w:cs="Tahoma"/>
                <w:sz w:val="20"/>
                <w:szCs w:val="20"/>
                <w:lang w:val="id-ID"/>
              </w:rPr>
              <w:t>Peningkatan Kualitas Pengelolaan Keuangan Daerah</w:t>
            </w:r>
          </w:p>
          <w:p>
            <w:pPr>
              <w:numPr>
                <w:ilvl w:val="0"/>
                <w:numId w:val="22"/>
              </w:numPr>
              <w:tabs>
                <w:tab w:val="left" w:pos="317"/>
                <w:tab w:val="clear" w:pos="720"/>
              </w:tabs>
              <w:spacing w:after="0" w:line="240" w:lineRule="auto"/>
              <w:ind w:left="317" w:hanging="283"/>
              <w:rPr>
                <w:rFonts w:ascii="Tahoma" w:hAnsi="Tahoma" w:eastAsia="Batang" w:cs="Tahoma"/>
                <w:sz w:val="20"/>
                <w:szCs w:val="20"/>
                <w:lang w:val="id-ID"/>
              </w:rPr>
            </w:pPr>
            <w:r>
              <w:rPr>
                <w:rFonts w:ascii="Tahoma" w:hAnsi="Tahoma" w:eastAsia="Batang" w:cs="Tahoma"/>
                <w:sz w:val="20"/>
                <w:szCs w:val="20"/>
                <w:lang w:val="id-ID"/>
              </w:rPr>
              <w:t>Pembinaan dan fasilitasi keuangan Kab</w:t>
            </w:r>
            <w:r>
              <w:rPr>
                <w:rFonts w:ascii="Tahoma" w:hAnsi="Tahoma" w:eastAsia="Batang" w:cs="Tahoma"/>
                <w:sz w:val="20"/>
                <w:szCs w:val="20"/>
              </w:rPr>
              <w:t>upaten</w:t>
            </w:r>
            <w:r>
              <w:rPr>
                <w:rFonts w:ascii="Tahoma" w:hAnsi="Tahoma" w:eastAsia="Batang" w:cs="Tahoma"/>
                <w:sz w:val="20"/>
                <w:szCs w:val="20"/>
                <w:lang w:val="id-ID"/>
              </w:rPr>
              <w:t>/Kota</w:t>
            </w:r>
          </w:p>
        </w:tc>
        <w:tc>
          <w:tcPr>
            <w:tcW w:w="1507" w:type="dxa"/>
            <w:tcBorders>
              <w:top w:val="single" w:color="000000" w:sz="8" w:space="0"/>
              <w:left w:val="single" w:color="000000" w:sz="8" w:space="0"/>
              <w:bottom w:val="single" w:color="000000" w:sz="8" w:space="0"/>
              <w:right w:val="single" w:color="000000" w:sz="8" w:space="0"/>
            </w:tcBorders>
            <w:shd w:val="clear" w:color="auto" w:fill="FFFCF2"/>
            <w:tcMar>
              <w:top w:w="14" w:type="dxa"/>
              <w:left w:w="108" w:type="dxa"/>
              <w:bottom w:w="0" w:type="dxa"/>
              <w:right w:w="108" w:type="dxa"/>
            </w:tcMar>
          </w:tcPr>
          <w:p>
            <w:pPr>
              <w:spacing w:after="240"/>
              <w:ind w:left="175"/>
              <w:rPr>
                <w:rFonts w:ascii="Tahoma" w:hAnsi="Tahoma" w:eastAsia="Batang" w:cs="Tahoma"/>
                <w:sz w:val="20"/>
                <w:szCs w:val="20"/>
                <w:lang w:val="id-ID"/>
              </w:rPr>
            </w:pPr>
            <w:r>
              <w:rPr>
                <w:rFonts w:ascii="Tahoma" w:hAnsi="Tahoma" w:eastAsia="Batang" w:cs="Tahoma"/>
                <w:sz w:val="20"/>
                <w:szCs w:val="20"/>
              </w:rPr>
              <w:t>Fungsi lain (urusan otonomi daerah)</w:t>
            </w:r>
          </w:p>
          <w:p>
            <w:pPr>
              <w:spacing w:after="240"/>
              <w:ind w:left="175"/>
              <w:rPr>
                <w:rFonts w:ascii="Tahoma" w:hAnsi="Tahoma" w:eastAsia="Batang" w:cs="Tahoma"/>
                <w:sz w:val="20"/>
                <w:szCs w:val="20"/>
                <w:lang w:val="id-ID"/>
              </w:rPr>
            </w:pPr>
          </w:p>
        </w:tc>
        <w:tc>
          <w:tcPr>
            <w:tcW w:w="1500" w:type="dxa"/>
            <w:tcBorders>
              <w:top w:val="single" w:color="000000" w:sz="8" w:space="0"/>
              <w:left w:val="single" w:color="000000" w:sz="8" w:space="0"/>
              <w:bottom w:val="single" w:color="000000" w:sz="8" w:space="0"/>
              <w:right w:val="single" w:color="000000" w:sz="8" w:space="0"/>
            </w:tcBorders>
            <w:shd w:val="clear" w:color="auto" w:fill="FFFCF2"/>
            <w:tcMar>
              <w:top w:w="14" w:type="dxa"/>
              <w:left w:w="108" w:type="dxa"/>
              <w:bottom w:w="0" w:type="dxa"/>
              <w:right w:w="108" w:type="dxa"/>
            </w:tcMar>
          </w:tcPr>
          <w:p>
            <w:pPr>
              <w:spacing w:after="240"/>
              <w:rPr>
                <w:rFonts w:ascii="Tahoma" w:hAnsi="Tahoma" w:eastAsia="Batang" w:cs="Tahoma"/>
                <w:sz w:val="20"/>
                <w:szCs w:val="20"/>
                <w:lang w:val="id-ID"/>
              </w:rPr>
            </w:pPr>
            <w:r>
              <w:rPr>
                <w:rFonts w:ascii="Tahoma" w:hAnsi="Tahoma" w:eastAsia="Batang" w:cs="Tahoma"/>
                <w:sz w:val="20"/>
                <w:szCs w:val="20"/>
                <w:lang w:val="id-ID"/>
              </w:rPr>
              <w:t>BADAN KEUANGAN DAERAH</w:t>
            </w:r>
          </w:p>
        </w:tc>
      </w:tr>
    </w:tbl>
    <w:p>
      <w:pPr>
        <w:spacing w:after="240"/>
        <w:ind w:firstLine="567"/>
        <w:rPr>
          <w:rFonts w:ascii="Tahoma" w:hAnsi="Tahoma" w:eastAsia="Batang" w:cs="Tahoma"/>
          <w:sz w:val="24"/>
          <w:szCs w:val="24"/>
          <w:lang w:val="id-ID"/>
        </w:rPr>
      </w:pPr>
    </w:p>
    <w:p>
      <w:pPr>
        <w:spacing w:after="240" w:line="360" w:lineRule="auto"/>
        <w:ind w:left="440" w:leftChars="200"/>
        <w:jc w:val="both"/>
        <w:rPr>
          <w:rFonts w:ascii="Tahoma" w:hAnsi="Tahoma" w:eastAsia="Batang" w:cs="Tahoma"/>
        </w:rPr>
      </w:pPr>
      <w:r>
        <w:rPr>
          <w:rFonts w:ascii="Tahoma" w:hAnsi="Tahoma" w:eastAsia="Batang" w:cs="Tahoma"/>
        </w:rPr>
        <w:t>Bertitik tolak dari visi, misi, tujuan, prioritas pembangunan, sasaran, strategi dan program pembangunan Pemerintah Daerah inilah kemudian disusun Rencana Strategis Badan Keuangan Daerah.</w:t>
      </w:r>
    </w:p>
    <w:p>
      <w:pPr>
        <w:pStyle w:val="10"/>
        <w:spacing w:before="120" w:after="120"/>
        <w:ind w:left="440" w:leftChars="200" w:firstLine="0"/>
        <w:rPr>
          <w:rFonts w:ascii="Tahoma" w:hAnsi="Tahoma" w:eastAsia="Batang" w:cs="Tahoma"/>
          <w:sz w:val="22"/>
          <w:szCs w:val="22"/>
          <w:lang w:val="id-ID"/>
        </w:rPr>
      </w:pPr>
      <w:r>
        <w:rPr>
          <w:rFonts w:ascii="Tahoma" w:hAnsi="Tahoma" w:eastAsia="Batang" w:cs="Tahoma"/>
          <w:sz w:val="22"/>
          <w:szCs w:val="22"/>
          <w:lang w:val="id-ID"/>
        </w:rPr>
        <w:t>Keterkaitan antara RPJMD Provinsi Sumatera Barat dengan Renstra Badan Keuangan Daerah terlihat pada tabel dibawah ini :</w:t>
      </w:r>
    </w:p>
    <w:p>
      <w:pPr>
        <w:pStyle w:val="10"/>
        <w:spacing w:before="120"/>
        <w:ind w:left="440" w:leftChars="200" w:firstLine="0"/>
        <w:jc w:val="center"/>
        <w:rPr>
          <w:rFonts w:ascii="Tahoma" w:hAnsi="Tahoma" w:eastAsia="Batang" w:cs="Tahoma"/>
          <w:b/>
          <w:bCs/>
          <w:sz w:val="22"/>
          <w:szCs w:val="22"/>
        </w:rPr>
      </w:pPr>
    </w:p>
    <w:p>
      <w:pPr>
        <w:pStyle w:val="10"/>
        <w:spacing w:before="120"/>
        <w:ind w:left="440" w:leftChars="200" w:firstLine="0"/>
        <w:jc w:val="center"/>
        <w:rPr>
          <w:rFonts w:ascii="Tahoma" w:hAnsi="Tahoma" w:eastAsia="Batang" w:cs="Tahoma"/>
          <w:b/>
          <w:bCs/>
          <w:sz w:val="22"/>
          <w:szCs w:val="22"/>
        </w:rPr>
      </w:pPr>
      <w:r>
        <w:rPr>
          <w:rFonts w:ascii="Tahoma" w:hAnsi="Tahoma" w:eastAsia="Batang" w:cs="Tahoma"/>
          <w:b/>
          <w:bCs/>
          <w:sz w:val="22"/>
          <w:szCs w:val="22"/>
        </w:rPr>
        <w:t>Tabel. 1.3</w:t>
      </w:r>
    </w:p>
    <w:p>
      <w:pPr>
        <w:pStyle w:val="10"/>
        <w:spacing w:line="240" w:lineRule="auto"/>
        <w:ind w:left="440" w:leftChars="200" w:firstLine="0"/>
        <w:jc w:val="center"/>
        <w:rPr>
          <w:rFonts w:ascii="Tahoma" w:hAnsi="Tahoma" w:eastAsia="Batang" w:cs="Tahoma"/>
          <w:b/>
          <w:bCs/>
          <w:sz w:val="22"/>
          <w:szCs w:val="22"/>
        </w:rPr>
      </w:pPr>
      <w:r>
        <w:rPr>
          <w:rFonts w:ascii="Tahoma" w:hAnsi="Tahoma" w:eastAsia="Batang" w:cs="Tahoma"/>
          <w:b/>
          <w:bCs/>
          <w:sz w:val="22"/>
          <w:szCs w:val="22"/>
        </w:rPr>
        <w:t xml:space="preserve">Keterkaitan antara RPJMD Provinsi Sumatera Barat dengan </w:t>
      </w:r>
    </w:p>
    <w:p>
      <w:pPr>
        <w:pStyle w:val="10"/>
        <w:spacing w:afterLines="50" w:line="240" w:lineRule="auto"/>
        <w:ind w:left="440" w:leftChars="200" w:firstLine="0"/>
        <w:jc w:val="center"/>
        <w:rPr>
          <w:rFonts w:ascii="Tahoma" w:hAnsi="Tahoma" w:eastAsia="Batang" w:cs="Tahoma"/>
          <w:sz w:val="22"/>
          <w:szCs w:val="22"/>
          <w:lang w:val="id-ID"/>
        </w:rPr>
      </w:pPr>
      <w:r>
        <w:rPr>
          <w:rFonts w:ascii="Tahoma" w:hAnsi="Tahoma" w:eastAsia="Batang" w:cs="Tahoma"/>
          <w:b/>
          <w:bCs/>
          <w:sz w:val="22"/>
          <w:szCs w:val="22"/>
        </w:rPr>
        <w:t>Renstra Badan Keuangan Daerah Provinsi Sumatera Barat</w:t>
      </w:r>
    </w:p>
    <w:p>
      <w:pPr>
        <w:spacing w:after="240" w:line="360" w:lineRule="auto"/>
        <w:ind w:left="0" w:leftChars="0" w:firstLine="0" w:firstLineChars="0"/>
        <w:jc w:val="both"/>
        <w:rPr>
          <w:rFonts w:ascii="Tahoma" w:hAnsi="Tahoma" w:eastAsia="Batang" w:cs="Tahoma"/>
        </w:rPr>
      </w:pPr>
      <w:r>
        <w:rPr>
          <w:lang w:val="id-ID" w:eastAsia="id-ID"/>
        </w:rPr>
        <w:drawing>
          <wp:inline distT="0" distB="0" distL="0" distR="0">
            <wp:extent cx="5711825" cy="3209290"/>
            <wp:effectExtent l="0" t="0" r="317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5"/>
                    <a:srcRect/>
                    <a:stretch>
                      <a:fillRect/>
                    </a:stretch>
                  </pic:blipFill>
                  <pic:spPr>
                    <a:xfrm>
                      <a:off x="0" y="0"/>
                      <a:ext cx="5711825" cy="3209290"/>
                    </a:xfrm>
                    <a:prstGeom prst="rect">
                      <a:avLst/>
                    </a:prstGeom>
                    <a:noFill/>
                    <a:ln w="9525">
                      <a:noFill/>
                      <a:miter lim="800000"/>
                      <a:headEnd/>
                      <a:tailEnd/>
                    </a:ln>
                  </pic:spPr>
                </pic:pic>
              </a:graphicData>
            </a:graphic>
          </wp:inline>
        </w:drawing>
      </w:r>
    </w:p>
    <w:p>
      <w:pPr>
        <w:spacing w:after="240" w:line="360" w:lineRule="auto"/>
        <w:ind w:left="440" w:leftChars="200"/>
        <w:jc w:val="both"/>
        <w:rPr>
          <w:rFonts w:ascii="Tahoma" w:hAnsi="Tahoma" w:cs="Tahoma"/>
          <w:b/>
          <w:bCs/>
          <w:lang w:val="id-ID"/>
        </w:rPr>
      </w:pPr>
      <w:r>
        <w:rPr>
          <w:rFonts w:ascii="Tahoma" w:hAnsi="Tahoma" w:cs="Tahoma"/>
          <w:lang w:val="id-ID"/>
        </w:rPr>
        <w:t>Dalam Rencana St</w:t>
      </w:r>
      <w:r>
        <w:rPr>
          <w:rFonts w:ascii="Tahoma" w:hAnsi="Tahoma" w:cs="Tahoma"/>
        </w:rPr>
        <w:t>ra</w:t>
      </w:r>
      <w:r>
        <w:rPr>
          <w:rFonts w:ascii="Tahoma" w:hAnsi="Tahoma" w:cs="Tahoma"/>
          <w:lang w:val="id-ID"/>
        </w:rPr>
        <w:t xml:space="preserve">tegis 2016-2021 </w:t>
      </w:r>
      <w:r>
        <w:rPr>
          <w:rFonts w:ascii="Tahoma" w:hAnsi="Tahoma" w:eastAsia="Batang" w:cs="Tahoma"/>
        </w:rPr>
        <w:t>Badan Keuangan Daerah</w:t>
      </w:r>
      <w:r>
        <w:rPr>
          <w:rFonts w:ascii="Tahoma" w:hAnsi="Tahoma" w:cs="Tahoma"/>
          <w:lang w:val="id-ID"/>
        </w:rPr>
        <w:t xml:space="preserve"> menetapkan tujuannya yang tercantum pada tabel </w:t>
      </w:r>
      <w:r>
        <w:rPr>
          <w:rFonts w:ascii="Tahoma" w:hAnsi="Tahoma" w:cs="Tahoma"/>
        </w:rPr>
        <w:t>berikut</w:t>
      </w:r>
      <w:r>
        <w:rPr>
          <w:rFonts w:hint="default" w:ascii="Tahoma" w:hAnsi="Tahoma" w:cs="Tahoma"/>
          <w:lang w:val="en-US"/>
        </w:rPr>
        <w:t>.</w:t>
      </w:r>
    </w:p>
    <w:p>
      <w:pPr>
        <w:spacing w:after="120" w:line="240" w:lineRule="auto"/>
        <w:jc w:val="center"/>
        <w:rPr>
          <w:rFonts w:ascii="Tahoma" w:hAnsi="Tahoma" w:cs="Tahoma"/>
          <w:b/>
          <w:bCs/>
        </w:rPr>
      </w:pPr>
      <w:r>
        <w:rPr>
          <w:rFonts w:ascii="Tahoma" w:hAnsi="Tahoma" w:cs="Tahoma"/>
          <w:b/>
          <w:bCs/>
          <w:lang w:val="id-ID"/>
        </w:rPr>
        <w:t xml:space="preserve">Tabel </w:t>
      </w:r>
      <w:r>
        <w:rPr>
          <w:rFonts w:ascii="Tahoma" w:hAnsi="Tahoma" w:cs="Tahoma"/>
          <w:b/>
          <w:bCs/>
        </w:rPr>
        <w:t>1</w:t>
      </w:r>
      <w:r>
        <w:rPr>
          <w:rFonts w:ascii="Tahoma" w:hAnsi="Tahoma" w:cs="Tahoma"/>
          <w:b/>
          <w:bCs/>
          <w:lang w:val="id-ID"/>
        </w:rPr>
        <w:t>.</w:t>
      </w:r>
      <w:r>
        <w:rPr>
          <w:rFonts w:ascii="Tahoma" w:hAnsi="Tahoma" w:cs="Tahoma"/>
          <w:b/>
          <w:bCs/>
        </w:rPr>
        <w:t>4</w:t>
      </w:r>
    </w:p>
    <w:p>
      <w:pPr>
        <w:spacing w:after="240" w:line="360" w:lineRule="auto"/>
        <w:jc w:val="center"/>
        <w:rPr>
          <w:rFonts w:ascii="Tahoma" w:hAnsi="Tahoma" w:cs="Tahoma"/>
          <w:lang w:val="id-ID"/>
        </w:rPr>
      </w:pPr>
      <w:r>
        <w:rPr>
          <w:rFonts w:ascii="Tahoma" w:hAnsi="Tahoma" w:cs="Tahoma"/>
          <w:b/>
          <w:bCs/>
          <w:lang w:val="id-ID"/>
        </w:rPr>
        <w:t xml:space="preserve">Tujuan Renstra </w:t>
      </w:r>
      <w:r>
        <w:rPr>
          <w:rFonts w:ascii="Tahoma" w:hAnsi="Tahoma" w:cs="Tahoma"/>
          <w:b/>
          <w:bCs/>
        </w:rPr>
        <w:t xml:space="preserve">2016-2021 Badan Keuangan Daerah Provinsi Sumatera Barat </w:t>
      </w:r>
    </w:p>
    <w:tbl>
      <w:tblPr>
        <w:tblStyle w:val="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3444"/>
        <w:gridCol w:w="4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50" w:type="dxa"/>
            <w:shd w:val="clear" w:color="auto" w:fill="C7DAF1" w:themeFill="text2" w:themeFillTint="32"/>
            <w:vAlign w:val="center"/>
          </w:tcPr>
          <w:p>
            <w:pPr>
              <w:pStyle w:val="47"/>
              <w:widowControl w:val="0"/>
              <w:autoSpaceDE w:val="0"/>
              <w:autoSpaceDN w:val="0"/>
              <w:spacing w:after="0" w:line="240" w:lineRule="auto"/>
              <w:ind w:left="0"/>
              <w:jc w:val="center"/>
              <w:rPr>
                <w:rFonts w:ascii="Tahoma" w:hAnsi="Tahoma" w:cs="Tahoma"/>
                <w:b/>
                <w:spacing w:val="1"/>
                <w:sz w:val="22"/>
                <w:szCs w:val="22"/>
              </w:rPr>
            </w:pPr>
            <w:r>
              <w:rPr>
                <w:rFonts w:ascii="Tahoma" w:hAnsi="Tahoma" w:cs="Tahoma"/>
                <w:b/>
                <w:spacing w:val="1"/>
                <w:sz w:val="22"/>
                <w:szCs w:val="22"/>
              </w:rPr>
              <w:t>No.</w:t>
            </w:r>
          </w:p>
        </w:tc>
        <w:tc>
          <w:tcPr>
            <w:tcW w:w="3444" w:type="dxa"/>
            <w:shd w:val="clear" w:color="auto" w:fill="C7DAF1" w:themeFill="text2" w:themeFillTint="32"/>
            <w:vAlign w:val="center"/>
          </w:tcPr>
          <w:p>
            <w:pPr>
              <w:pStyle w:val="47"/>
              <w:widowControl w:val="0"/>
              <w:autoSpaceDE w:val="0"/>
              <w:autoSpaceDN w:val="0"/>
              <w:spacing w:after="0" w:line="240" w:lineRule="auto"/>
              <w:ind w:left="0"/>
              <w:jc w:val="center"/>
              <w:rPr>
                <w:rFonts w:ascii="Tahoma" w:hAnsi="Tahoma" w:cs="Tahoma"/>
                <w:b/>
                <w:spacing w:val="1"/>
                <w:sz w:val="22"/>
                <w:szCs w:val="22"/>
                <w:lang w:val="id-ID"/>
              </w:rPr>
            </w:pPr>
            <w:r>
              <w:rPr>
                <w:rFonts w:ascii="Tahoma" w:hAnsi="Tahoma" w:cs="Tahoma"/>
                <w:b/>
                <w:spacing w:val="1"/>
                <w:sz w:val="22"/>
                <w:szCs w:val="22"/>
              </w:rPr>
              <w:t xml:space="preserve">Tujuan </w:t>
            </w:r>
            <w:r>
              <w:rPr>
                <w:rFonts w:ascii="Tahoma" w:hAnsi="Tahoma" w:cs="Tahoma"/>
                <w:b/>
                <w:spacing w:val="1"/>
                <w:sz w:val="22"/>
                <w:szCs w:val="22"/>
                <w:lang w:val="id-ID"/>
              </w:rPr>
              <w:t>Renstra</w:t>
            </w:r>
          </w:p>
        </w:tc>
        <w:tc>
          <w:tcPr>
            <w:tcW w:w="4069" w:type="dxa"/>
            <w:shd w:val="clear" w:color="auto" w:fill="C7DAF1" w:themeFill="text2" w:themeFillTint="32"/>
          </w:tcPr>
          <w:p>
            <w:pPr>
              <w:pStyle w:val="47"/>
              <w:widowControl w:val="0"/>
              <w:autoSpaceDE w:val="0"/>
              <w:autoSpaceDN w:val="0"/>
              <w:spacing w:after="0" w:line="240" w:lineRule="auto"/>
              <w:ind w:left="0"/>
              <w:jc w:val="center"/>
              <w:rPr>
                <w:rFonts w:ascii="Tahoma" w:hAnsi="Tahoma" w:cs="Tahoma"/>
                <w:b/>
                <w:spacing w:val="1"/>
                <w:sz w:val="22"/>
                <w:szCs w:val="22"/>
              </w:rPr>
            </w:pPr>
            <w:r>
              <w:rPr>
                <w:rFonts w:ascii="Tahoma" w:hAnsi="Tahoma" w:cs="Tahoma"/>
                <w:b/>
                <w:spacing w:val="1"/>
                <w:sz w:val="22"/>
                <w:szCs w:val="22"/>
              </w:rPr>
              <w:t xml:space="preserve">Tujuan </w:t>
            </w:r>
            <w:r>
              <w:rPr>
                <w:rFonts w:ascii="Tahoma" w:hAnsi="Tahoma" w:cs="Tahoma"/>
                <w:b/>
                <w:spacing w:val="1"/>
                <w:sz w:val="22"/>
                <w:szCs w:val="22"/>
                <w:lang w:val="id-ID"/>
              </w:rPr>
              <w:t>Revisi Renstra</w:t>
            </w:r>
            <w:r>
              <w:rPr>
                <w:rFonts w:ascii="Tahoma" w:hAnsi="Tahoma" w:cs="Tahoma"/>
                <w:b/>
                <w:spacing w:val="1"/>
                <w:sz w:val="22"/>
                <w:szCs w:val="22"/>
              </w:rPr>
              <w:t xml:space="preserve"> sesuai rekomendasi tim penguatan SAKIP November 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850" w:type="dxa"/>
            <w:shd w:val="clear" w:color="auto" w:fill="FEF3EB"/>
          </w:tcPr>
          <w:p>
            <w:pPr>
              <w:pStyle w:val="47"/>
              <w:widowControl w:val="0"/>
              <w:autoSpaceDE w:val="0"/>
              <w:autoSpaceDN w:val="0"/>
              <w:spacing w:after="0" w:line="240" w:lineRule="auto"/>
              <w:ind w:left="0"/>
              <w:jc w:val="center"/>
              <w:rPr>
                <w:rFonts w:ascii="Tahoma" w:hAnsi="Tahoma" w:cs="Tahoma"/>
                <w:spacing w:val="1"/>
                <w:sz w:val="22"/>
                <w:szCs w:val="22"/>
              </w:rPr>
            </w:pPr>
            <w:r>
              <w:rPr>
                <w:rFonts w:ascii="Tahoma" w:hAnsi="Tahoma" w:cs="Tahoma"/>
                <w:spacing w:val="1"/>
                <w:sz w:val="22"/>
                <w:szCs w:val="22"/>
              </w:rPr>
              <w:t>1.</w:t>
            </w:r>
          </w:p>
        </w:tc>
        <w:tc>
          <w:tcPr>
            <w:tcW w:w="3444" w:type="dxa"/>
            <w:shd w:val="clear" w:color="auto" w:fill="FEF3EB"/>
          </w:tcPr>
          <w:p>
            <w:pPr>
              <w:pStyle w:val="47"/>
              <w:widowControl w:val="0"/>
              <w:autoSpaceDE w:val="0"/>
              <w:autoSpaceDN w:val="0"/>
              <w:spacing w:after="0" w:line="240" w:lineRule="auto"/>
              <w:ind w:left="0"/>
              <w:rPr>
                <w:rFonts w:ascii="Tahoma" w:hAnsi="Tahoma" w:cs="Tahoma"/>
                <w:spacing w:val="1"/>
                <w:sz w:val="22"/>
                <w:szCs w:val="22"/>
                <w:lang w:val="id-ID"/>
              </w:rPr>
            </w:pPr>
            <w:r>
              <w:rPr>
                <w:rFonts w:ascii="Tahoma" w:hAnsi="Tahoma" w:cs="Tahoma"/>
                <w:spacing w:val="1"/>
                <w:sz w:val="22"/>
                <w:szCs w:val="22"/>
                <w:lang w:val="id-ID"/>
              </w:rPr>
              <w:t xml:space="preserve">Terwujudnya Pengelolaan Keuangan </w:t>
            </w:r>
            <w:r>
              <w:rPr>
                <w:rFonts w:ascii="Tahoma" w:hAnsi="Tahoma" w:cs="Tahoma"/>
                <w:spacing w:val="1"/>
                <w:sz w:val="22"/>
                <w:szCs w:val="22"/>
              </w:rPr>
              <w:t>y</w:t>
            </w:r>
            <w:r>
              <w:rPr>
                <w:rFonts w:ascii="Tahoma" w:hAnsi="Tahoma" w:cs="Tahoma"/>
                <w:spacing w:val="1"/>
                <w:sz w:val="22"/>
                <w:szCs w:val="22"/>
                <w:lang w:val="id-ID"/>
              </w:rPr>
              <w:t>ang Transparan dan Akuntabel</w:t>
            </w:r>
          </w:p>
        </w:tc>
        <w:tc>
          <w:tcPr>
            <w:tcW w:w="4069" w:type="dxa"/>
            <w:shd w:val="clear" w:color="auto" w:fill="FEF3EB"/>
          </w:tcPr>
          <w:p>
            <w:pPr>
              <w:rPr>
                <w:rFonts w:ascii="Tahoma" w:hAnsi="Tahoma" w:cs="Tahoma"/>
                <w:spacing w:val="1"/>
                <w:lang w:val="id-ID"/>
              </w:rPr>
            </w:pPr>
            <w:r>
              <w:rPr>
                <w:rFonts w:ascii="Tahoma" w:hAnsi="Tahoma" w:cs="Tahoma"/>
                <w:color w:val="000000"/>
              </w:rPr>
              <w:t>Meningkatnya transparansi dan akuntabilitas dalam penyelenggaraan pengelolaan keuangan daerah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shd w:val="clear" w:color="auto" w:fill="FEF3EB"/>
          </w:tcPr>
          <w:p>
            <w:pPr>
              <w:pStyle w:val="47"/>
              <w:widowControl w:val="0"/>
              <w:autoSpaceDE w:val="0"/>
              <w:autoSpaceDN w:val="0"/>
              <w:spacing w:after="0" w:line="240" w:lineRule="auto"/>
              <w:ind w:left="0"/>
              <w:jc w:val="center"/>
              <w:rPr>
                <w:rFonts w:ascii="Tahoma" w:hAnsi="Tahoma" w:cs="Tahoma"/>
                <w:spacing w:val="1"/>
                <w:sz w:val="22"/>
                <w:szCs w:val="22"/>
              </w:rPr>
            </w:pPr>
            <w:r>
              <w:rPr>
                <w:rFonts w:ascii="Tahoma" w:hAnsi="Tahoma" w:cs="Tahoma"/>
                <w:spacing w:val="1"/>
                <w:sz w:val="22"/>
                <w:szCs w:val="22"/>
              </w:rPr>
              <w:t>2.</w:t>
            </w:r>
          </w:p>
        </w:tc>
        <w:tc>
          <w:tcPr>
            <w:tcW w:w="3444" w:type="dxa"/>
            <w:shd w:val="clear" w:color="auto" w:fill="FEF3EB"/>
          </w:tcPr>
          <w:p>
            <w:pPr>
              <w:pStyle w:val="47"/>
              <w:widowControl w:val="0"/>
              <w:autoSpaceDE w:val="0"/>
              <w:autoSpaceDN w:val="0"/>
              <w:spacing w:after="0" w:line="240" w:lineRule="auto"/>
              <w:ind w:left="0"/>
              <w:rPr>
                <w:rFonts w:ascii="Tahoma" w:hAnsi="Tahoma" w:cs="Tahoma"/>
                <w:spacing w:val="1"/>
                <w:sz w:val="22"/>
                <w:szCs w:val="22"/>
                <w:lang w:val="id-ID"/>
              </w:rPr>
            </w:pPr>
            <w:r>
              <w:rPr>
                <w:rFonts w:ascii="Tahoma" w:hAnsi="Tahoma" w:cs="Tahoma"/>
                <w:spacing w:val="1"/>
                <w:sz w:val="22"/>
                <w:szCs w:val="22"/>
                <w:lang w:val="id-ID"/>
              </w:rPr>
              <w:t xml:space="preserve">Terwujudnya Peningkatan Pendapatan </w:t>
            </w:r>
            <w:r>
              <w:rPr>
                <w:rFonts w:ascii="Tahoma" w:hAnsi="Tahoma" w:cs="Tahoma"/>
                <w:spacing w:val="1"/>
                <w:sz w:val="22"/>
                <w:szCs w:val="22"/>
              </w:rPr>
              <w:t>D</w:t>
            </w:r>
            <w:r>
              <w:rPr>
                <w:rFonts w:ascii="Tahoma" w:hAnsi="Tahoma" w:cs="Tahoma"/>
                <w:spacing w:val="1"/>
                <w:sz w:val="22"/>
                <w:szCs w:val="22"/>
                <w:lang w:val="id-ID"/>
              </w:rPr>
              <w:t>aerah</w:t>
            </w:r>
          </w:p>
          <w:p>
            <w:pPr>
              <w:pStyle w:val="47"/>
              <w:widowControl w:val="0"/>
              <w:autoSpaceDE w:val="0"/>
              <w:autoSpaceDN w:val="0"/>
              <w:spacing w:after="0" w:line="240" w:lineRule="auto"/>
              <w:ind w:left="0"/>
              <w:rPr>
                <w:rFonts w:ascii="Tahoma" w:hAnsi="Tahoma" w:cs="Tahoma"/>
                <w:spacing w:val="1"/>
                <w:sz w:val="22"/>
                <w:szCs w:val="22"/>
                <w:lang w:val="id-ID"/>
              </w:rPr>
            </w:pPr>
          </w:p>
        </w:tc>
        <w:tc>
          <w:tcPr>
            <w:tcW w:w="4069" w:type="dxa"/>
            <w:shd w:val="clear" w:color="auto" w:fill="FEF3EB"/>
          </w:tcPr>
          <w:p>
            <w:pPr>
              <w:rPr>
                <w:rFonts w:ascii="Tahoma" w:hAnsi="Tahoma" w:cs="Tahoma"/>
                <w:spacing w:val="1"/>
                <w:lang w:val="id-ID"/>
              </w:rPr>
            </w:pPr>
            <w:r>
              <w:rPr>
                <w:rFonts w:ascii="Tahoma" w:hAnsi="Tahoma" w:cs="Tahoma"/>
                <w:color w:val="000000"/>
              </w:rPr>
              <w:t>Meningkatnya pendapatan  daerah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shd w:val="clear" w:color="auto" w:fill="FEF3EB"/>
          </w:tcPr>
          <w:p>
            <w:pPr>
              <w:pStyle w:val="47"/>
              <w:widowControl w:val="0"/>
              <w:autoSpaceDE w:val="0"/>
              <w:autoSpaceDN w:val="0"/>
              <w:spacing w:after="0" w:line="240" w:lineRule="auto"/>
              <w:ind w:left="0"/>
              <w:jc w:val="center"/>
              <w:rPr>
                <w:rFonts w:ascii="Tahoma" w:hAnsi="Tahoma" w:cs="Tahoma"/>
                <w:spacing w:val="1"/>
                <w:sz w:val="22"/>
                <w:szCs w:val="22"/>
              </w:rPr>
            </w:pPr>
            <w:r>
              <w:rPr>
                <w:rFonts w:ascii="Tahoma" w:hAnsi="Tahoma" w:cs="Tahoma"/>
                <w:spacing w:val="1"/>
                <w:sz w:val="22"/>
                <w:szCs w:val="22"/>
              </w:rPr>
              <w:t>3.</w:t>
            </w:r>
          </w:p>
        </w:tc>
        <w:tc>
          <w:tcPr>
            <w:tcW w:w="3444" w:type="dxa"/>
            <w:shd w:val="clear" w:color="auto" w:fill="FEF3EB"/>
          </w:tcPr>
          <w:p>
            <w:pPr>
              <w:pStyle w:val="47"/>
              <w:widowControl w:val="0"/>
              <w:autoSpaceDE w:val="0"/>
              <w:autoSpaceDN w:val="0"/>
              <w:spacing w:after="0" w:line="240" w:lineRule="auto"/>
              <w:ind w:left="0"/>
              <w:rPr>
                <w:rFonts w:ascii="Tahoma" w:hAnsi="Tahoma" w:cs="Tahoma"/>
                <w:spacing w:val="1"/>
                <w:sz w:val="22"/>
                <w:szCs w:val="22"/>
                <w:lang w:val="id-ID"/>
              </w:rPr>
            </w:pPr>
            <w:r>
              <w:rPr>
                <w:rFonts w:ascii="Tahoma" w:hAnsi="Tahoma" w:cs="Tahoma"/>
                <w:spacing w:val="1"/>
                <w:sz w:val="22"/>
                <w:szCs w:val="22"/>
                <w:lang w:val="id-ID"/>
              </w:rPr>
              <w:t>Terwujudnya Peningkatan Kualitas APBD Kab</w:t>
            </w:r>
            <w:r>
              <w:rPr>
                <w:rFonts w:ascii="Tahoma" w:hAnsi="Tahoma" w:cs="Tahoma"/>
                <w:spacing w:val="1"/>
                <w:sz w:val="22"/>
                <w:szCs w:val="22"/>
              </w:rPr>
              <w:t>upaten</w:t>
            </w:r>
            <w:r>
              <w:rPr>
                <w:rFonts w:ascii="Tahoma" w:hAnsi="Tahoma" w:cs="Tahoma"/>
                <w:spacing w:val="1"/>
                <w:sz w:val="22"/>
                <w:szCs w:val="22"/>
                <w:lang w:val="id-ID"/>
              </w:rPr>
              <w:t>/Kota</w:t>
            </w:r>
          </w:p>
          <w:p>
            <w:pPr>
              <w:pStyle w:val="47"/>
              <w:widowControl w:val="0"/>
              <w:autoSpaceDE w:val="0"/>
              <w:autoSpaceDN w:val="0"/>
              <w:spacing w:after="0" w:line="240" w:lineRule="auto"/>
              <w:ind w:left="0"/>
              <w:rPr>
                <w:rFonts w:ascii="Tahoma" w:hAnsi="Tahoma" w:cs="Tahoma"/>
                <w:spacing w:val="1"/>
                <w:sz w:val="22"/>
                <w:szCs w:val="22"/>
                <w:lang w:val="id-ID"/>
              </w:rPr>
            </w:pPr>
          </w:p>
        </w:tc>
        <w:tc>
          <w:tcPr>
            <w:tcW w:w="4069" w:type="dxa"/>
            <w:shd w:val="clear" w:color="auto" w:fill="FEF3EB"/>
          </w:tcPr>
          <w:p>
            <w:pPr>
              <w:rPr>
                <w:rFonts w:ascii="Tahoma" w:hAnsi="Tahoma" w:cs="Tahoma"/>
                <w:spacing w:val="1"/>
                <w:lang w:val="id-ID"/>
              </w:rPr>
            </w:pPr>
            <w:r>
              <w:rPr>
                <w:rFonts w:ascii="Tahoma" w:hAnsi="Tahoma" w:cs="Tahoma"/>
                <w:color w:val="000000"/>
              </w:rPr>
              <w:t>Meningkatnya kinerja organisasi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shd w:val="clear" w:color="auto" w:fill="FEF3EB"/>
          </w:tcPr>
          <w:p>
            <w:pPr>
              <w:pStyle w:val="47"/>
              <w:widowControl w:val="0"/>
              <w:autoSpaceDE w:val="0"/>
              <w:autoSpaceDN w:val="0"/>
              <w:spacing w:after="0" w:line="240" w:lineRule="auto"/>
              <w:ind w:left="0"/>
              <w:jc w:val="center"/>
              <w:rPr>
                <w:rFonts w:ascii="Tahoma" w:hAnsi="Tahoma" w:cs="Tahoma"/>
                <w:spacing w:val="1"/>
                <w:sz w:val="22"/>
                <w:szCs w:val="22"/>
              </w:rPr>
            </w:pPr>
            <w:r>
              <w:rPr>
                <w:rFonts w:ascii="Tahoma" w:hAnsi="Tahoma" w:cs="Tahoma"/>
                <w:spacing w:val="1"/>
                <w:sz w:val="22"/>
                <w:szCs w:val="22"/>
              </w:rPr>
              <w:t>4.</w:t>
            </w:r>
          </w:p>
        </w:tc>
        <w:tc>
          <w:tcPr>
            <w:tcW w:w="3444" w:type="dxa"/>
            <w:shd w:val="clear" w:color="auto" w:fill="FEF3EB"/>
          </w:tcPr>
          <w:p>
            <w:pPr>
              <w:pStyle w:val="47"/>
              <w:widowControl w:val="0"/>
              <w:autoSpaceDE w:val="0"/>
              <w:autoSpaceDN w:val="0"/>
              <w:spacing w:after="0" w:line="240" w:lineRule="auto"/>
              <w:ind w:left="0"/>
              <w:rPr>
                <w:rFonts w:ascii="Tahoma" w:hAnsi="Tahoma" w:cs="Tahoma"/>
                <w:spacing w:val="1"/>
                <w:sz w:val="22"/>
                <w:szCs w:val="22"/>
                <w:lang w:val="id-ID"/>
              </w:rPr>
            </w:pPr>
            <w:r>
              <w:rPr>
                <w:rFonts w:ascii="Tahoma" w:hAnsi="Tahoma" w:cs="Tahoma"/>
                <w:spacing w:val="1"/>
                <w:sz w:val="22"/>
                <w:szCs w:val="22"/>
                <w:lang w:val="id-ID"/>
              </w:rPr>
              <w:t xml:space="preserve">Terwujudnya Pelayanan Publik </w:t>
            </w:r>
            <w:r>
              <w:rPr>
                <w:rFonts w:ascii="Tahoma" w:hAnsi="Tahoma" w:cs="Tahoma"/>
                <w:spacing w:val="1"/>
                <w:sz w:val="22"/>
                <w:szCs w:val="22"/>
              </w:rPr>
              <w:t>y</w:t>
            </w:r>
            <w:r>
              <w:rPr>
                <w:rFonts w:ascii="Tahoma" w:hAnsi="Tahoma" w:cs="Tahoma"/>
                <w:spacing w:val="1"/>
                <w:sz w:val="22"/>
                <w:szCs w:val="22"/>
                <w:lang w:val="id-ID"/>
              </w:rPr>
              <w:t xml:space="preserve">ang Prima Aspiratif dan </w:t>
            </w:r>
            <w:r>
              <w:rPr>
                <w:rFonts w:ascii="Tahoma" w:hAnsi="Tahoma" w:cs="Tahoma"/>
                <w:spacing w:val="1"/>
                <w:sz w:val="22"/>
                <w:szCs w:val="22"/>
              </w:rPr>
              <w:t>P</w:t>
            </w:r>
            <w:r>
              <w:rPr>
                <w:rFonts w:ascii="Tahoma" w:hAnsi="Tahoma" w:cs="Tahoma"/>
                <w:spacing w:val="1"/>
                <w:sz w:val="22"/>
                <w:szCs w:val="22"/>
                <w:lang w:val="id-ID"/>
              </w:rPr>
              <w:t>artisipasif</w:t>
            </w:r>
          </w:p>
          <w:p>
            <w:pPr>
              <w:pStyle w:val="47"/>
              <w:widowControl w:val="0"/>
              <w:autoSpaceDE w:val="0"/>
              <w:autoSpaceDN w:val="0"/>
              <w:spacing w:after="0" w:line="240" w:lineRule="auto"/>
              <w:ind w:left="0"/>
              <w:rPr>
                <w:rFonts w:ascii="Tahoma" w:hAnsi="Tahoma" w:cs="Tahoma"/>
                <w:spacing w:val="1"/>
                <w:sz w:val="22"/>
                <w:szCs w:val="22"/>
                <w:lang w:val="id-ID"/>
              </w:rPr>
            </w:pPr>
          </w:p>
        </w:tc>
        <w:tc>
          <w:tcPr>
            <w:tcW w:w="4069" w:type="dxa"/>
            <w:shd w:val="clear" w:color="auto" w:fill="FEF3EB"/>
          </w:tcPr>
          <w:p>
            <w:pPr>
              <w:spacing w:after="0" w:line="240" w:lineRule="auto"/>
              <w:rPr>
                <w:rFonts w:ascii="Tahoma" w:hAnsi="Tahoma" w:cs="Tahoma"/>
                <w:spacing w:val="1"/>
                <w:lang w:val="id-ID"/>
              </w:rPr>
            </w:pPr>
          </w:p>
        </w:tc>
      </w:tr>
    </w:tbl>
    <w:p>
      <w:pPr>
        <w:pStyle w:val="20"/>
        <w:numPr>
          <w:ilvl w:val="0"/>
          <w:numId w:val="0"/>
        </w:numPr>
        <w:tabs>
          <w:tab w:val="clear" w:pos="1080"/>
        </w:tabs>
        <w:spacing w:before="120" w:afterLines="100" w:line="360" w:lineRule="auto"/>
        <w:ind w:left="440" w:leftChars="200" w:firstLine="4"/>
        <w:jc w:val="both"/>
        <w:rPr>
          <w:rFonts w:ascii="Tahoma" w:hAnsi="Tahoma" w:cs="Tahoma"/>
          <w:b w:val="0"/>
          <w:bCs w:val="0"/>
          <w:color w:val="000000"/>
          <w:sz w:val="22"/>
          <w:szCs w:val="22"/>
          <w:lang w:val="id-ID"/>
        </w:rPr>
      </w:pPr>
      <w:r>
        <w:rPr>
          <w:rFonts w:ascii="Tahoma" w:hAnsi="Tahoma" w:cs="Tahoma"/>
          <w:b w:val="0"/>
          <w:bCs w:val="0"/>
          <w:color w:val="000000"/>
          <w:sz w:val="22"/>
          <w:szCs w:val="22"/>
          <w:lang w:val="id-ID"/>
        </w:rPr>
        <w:t xml:space="preserve">Sementara itu untuk </w:t>
      </w:r>
      <w:r>
        <w:rPr>
          <w:rFonts w:ascii="Tahoma" w:hAnsi="Tahoma" w:cs="Tahoma"/>
          <w:b w:val="0"/>
          <w:bCs w:val="0"/>
          <w:color w:val="000000"/>
          <w:sz w:val="22"/>
          <w:szCs w:val="22"/>
        </w:rPr>
        <w:t>i</w:t>
      </w:r>
      <w:r>
        <w:rPr>
          <w:rFonts w:ascii="Tahoma" w:hAnsi="Tahoma" w:cs="Tahoma"/>
          <w:b w:val="0"/>
          <w:bCs w:val="0"/>
          <w:color w:val="000000"/>
          <w:sz w:val="22"/>
          <w:szCs w:val="22"/>
          <w:lang w:val="id-ID"/>
        </w:rPr>
        <w:t xml:space="preserve">ndikator </w:t>
      </w:r>
      <w:r>
        <w:rPr>
          <w:rFonts w:ascii="Tahoma" w:hAnsi="Tahoma" w:cs="Tahoma"/>
          <w:b w:val="0"/>
          <w:bCs w:val="0"/>
          <w:color w:val="000000"/>
          <w:sz w:val="22"/>
          <w:szCs w:val="22"/>
        </w:rPr>
        <w:t>k</w:t>
      </w:r>
      <w:r>
        <w:rPr>
          <w:rFonts w:ascii="Tahoma" w:hAnsi="Tahoma" w:cs="Tahoma"/>
          <w:b w:val="0"/>
          <w:bCs w:val="0"/>
          <w:color w:val="000000"/>
          <w:sz w:val="22"/>
          <w:szCs w:val="22"/>
          <w:lang w:val="id-ID"/>
        </w:rPr>
        <w:t>inerja Pemerintah Provinsi yang sesuai dengan tuga</w:t>
      </w:r>
      <w:r>
        <w:rPr>
          <w:rFonts w:ascii="Tahoma" w:hAnsi="Tahoma" w:cs="Tahoma"/>
          <w:b w:val="0"/>
          <w:bCs w:val="0"/>
          <w:color w:val="000000"/>
          <w:sz w:val="22"/>
          <w:szCs w:val="22"/>
        </w:rPr>
        <w:t xml:space="preserve">s </w:t>
      </w:r>
      <w:r>
        <w:rPr>
          <w:rFonts w:ascii="Tahoma" w:hAnsi="Tahoma" w:cs="Tahoma"/>
          <w:b w:val="0"/>
          <w:bCs w:val="0"/>
          <w:color w:val="000000"/>
          <w:sz w:val="22"/>
          <w:szCs w:val="22"/>
          <w:lang w:val="id-ID"/>
        </w:rPr>
        <w:t xml:space="preserve">pokok dan fungsi </w:t>
      </w:r>
      <w:r>
        <w:rPr>
          <w:rFonts w:ascii="Tahoma" w:hAnsi="Tahoma" w:cs="Tahoma"/>
          <w:b w:val="0"/>
          <w:bCs w:val="0"/>
          <w:color w:val="000000"/>
          <w:sz w:val="22"/>
          <w:szCs w:val="22"/>
        </w:rPr>
        <w:t>Badan Keuangan Daerah</w:t>
      </w:r>
      <w:r>
        <w:rPr>
          <w:rFonts w:ascii="Tahoma" w:hAnsi="Tahoma" w:cs="Tahoma"/>
          <w:b w:val="0"/>
          <w:bCs w:val="0"/>
          <w:color w:val="000000"/>
          <w:sz w:val="22"/>
          <w:szCs w:val="22"/>
          <w:lang w:val="id-ID"/>
        </w:rPr>
        <w:t xml:space="preserve"> adalah </w:t>
      </w:r>
      <w:r>
        <w:rPr>
          <w:rFonts w:ascii="Tahoma" w:hAnsi="Tahoma" w:cs="Tahoma"/>
          <w:b w:val="0"/>
          <w:bCs w:val="0"/>
          <w:color w:val="000000"/>
          <w:sz w:val="22"/>
          <w:szCs w:val="22"/>
        </w:rPr>
        <w:t>sebagai berikut</w:t>
      </w:r>
      <w:r>
        <w:rPr>
          <w:rFonts w:ascii="Tahoma" w:hAnsi="Tahoma" w:cs="Tahoma"/>
          <w:b w:val="0"/>
          <w:bCs w:val="0"/>
          <w:color w:val="000000"/>
          <w:sz w:val="22"/>
          <w:szCs w:val="22"/>
          <w:lang w:val="id-ID"/>
        </w:rPr>
        <w:t>:</w:t>
      </w:r>
    </w:p>
    <w:p>
      <w:pPr>
        <w:pStyle w:val="20"/>
        <w:numPr>
          <w:ilvl w:val="0"/>
          <w:numId w:val="0"/>
        </w:numPr>
        <w:tabs>
          <w:tab w:val="clear" w:pos="1080"/>
        </w:tabs>
        <w:spacing w:afterLines="50"/>
        <w:ind w:left="440"/>
        <w:rPr>
          <w:rFonts w:ascii="Tahoma" w:hAnsi="Tahoma" w:cs="Tahoma"/>
          <w:bCs w:val="0"/>
          <w:color w:val="000000"/>
          <w:sz w:val="22"/>
          <w:szCs w:val="22"/>
        </w:rPr>
      </w:pPr>
      <w:r>
        <w:rPr>
          <w:rFonts w:ascii="Tahoma" w:hAnsi="Tahoma" w:cs="Tahoma"/>
          <w:bCs w:val="0"/>
          <w:color w:val="000000"/>
          <w:sz w:val="22"/>
          <w:szCs w:val="22"/>
          <w:lang w:val="id-ID"/>
        </w:rPr>
        <w:t>Tabel</w:t>
      </w:r>
      <w:r>
        <w:rPr>
          <w:rFonts w:hint="default" w:ascii="Tahoma" w:hAnsi="Tahoma" w:cs="Tahoma"/>
          <w:bCs w:val="0"/>
          <w:color w:val="000000"/>
          <w:sz w:val="22"/>
          <w:szCs w:val="22"/>
          <w:lang w:val="en-US"/>
        </w:rPr>
        <w:t xml:space="preserve"> </w:t>
      </w:r>
      <w:r>
        <w:rPr>
          <w:rFonts w:ascii="Tahoma" w:hAnsi="Tahoma" w:cs="Tahoma"/>
          <w:bCs w:val="0"/>
          <w:color w:val="000000"/>
          <w:sz w:val="22"/>
          <w:szCs w:val="22"/>
        </w:rPr>
        <w:t>1.5</w:t>
      </w:r>
    </w:p>
    <w:p>
      <w:pPr>
        <w:pStyle w:val="20"/>
        <w:numPr>
          <w:ilvl w:val="0"/>
          <w:numId w:val="0"/>
        </w:numPr>
        <w:tabs>
          <w:tab w:val="clear" w:pos="1080"/>
        </w:tabs>
        <w:ind w:left="440"/>
        <w:rPr>
          <w:rFonts w:ascii="Tahoma" w:hAnsi="Tahoma" w:cs="Tahoma"/>
          <w:bCs w:val="0"/>
          <w:color w:val="000000"/>
          <w:sz w:val="22"/>
          <w:szCs w:val="22"/>
          <w:lang w:val="id-ID"/>
        </w:rPr>
      </w:pPr>
      <w:r>
        <w:rPr>
          <w:rFonts w:ascii="Tahoma" w:hAnsi="Tahoma" w:cs="Tahoma"/>
          <w:bCs w:val="0"/>
          <w:color w:val="000000"/>
          <w:sz w:val="22"/>
          <w:szCs w:val="22"/>
          <w:lang w:val="id-ID"/>
        </w:rPr>
        <w:t>Indikator Kinerja Utama</w:t>
      </w:r>
    </w:p>
    <w:p>
      <w:pPr>
        <w:pStyle w:val="20"/>
        <w:numPr>
          <w:ilvl w:val="0"/>
          <w:numId w:val="0"/>
        </w:numPr>
        <w:tabs>
          <w:tab w:val="clear" w:pos="1080"/>
        </w:tabs>
        <w:ind w:left="440"/>
        <w:rPr>
          <w:rFonts w:ascii="Tahoma" w:hAnsi="Tahoma" w:cs="Tahoma"/>
          <w:bCs w:val="0"/>
          <w:color w:val="000000"/>
          <w:sz w:val="22"/>
          <w:szCs w:val="22"/>
        </w:rPr>
      </w:pPr>
      <w:r>
        <w:rPr>
          <w:rFonts w:ascii="Tahoma" w:hAnsi="Tahoma" w:cs="Tahoma"/>
          <w:bCs w:val="0"/>
          <w:color w:val="000000"/>
          <w:sz w:val="22"/>
          <w:szCs w:val="22"/>
          <w:lang w:val="id-ID"/>
        </w:rPr>
        <w:t xml:space="preserve">Pemerintah Provinsi Sesuai Tupoksi </w:t>
      </w:r>
      <w:r>
        <w:rPr>
          <w:rFonts w:ascii="Tahoma" w:hAnsi="Tahoma" w:cs="Tahoma"/>
          <w:bCs w:val="0"/>
          <w:color w:val="000000"/>
          <w:sz w:val="22"/>
          <w:szCs w:val="22"/>
        </w:rPr>
        <w:t>Badan Keuangan Daerah T</w:t>
      </w:r>
      <w:r>
        <w:rPr>
          <w:rFonts w:ascii="Tahoma" w:hAnsi="Tahoma" w:cs="Tahoma"/>
          <w:bCs w:val="0"/>
          <w:color w:val="000000"/>
          <w:sz w:val="22"/>
          <w:szCs w:val="22"/>
          <w:lang w:val="id-ID"/>
        </w:rPr>
        <w:t>a</w:t>
      </w:r>
      <w:r>
        <w:rPr>
          <w:rFonts w:ascii="Tahoma" w:hAnsi="Tahoma" w:cs="Tahoma"/>
          <w:bCs w:val="0"/>
          <w:color w:val="000000"/>
          <w:sz w:val="22"/>
          <w:szCs w:val="22"/>
        </w:rPr>
        <w:t>h</w:t>
      </w:r>
      <w:r>
        <w:rPr>
          <w:rFonts w:ascii="Tahoma" w:hAnsi="Tahoma" w:cs="Tahoma"/>
          <w:bCs w:val="0"/>
          <w:color w:val="000000"/>
          <w:sz w:val="22"/>
          <w:szCs w:val="22"/>
          <w:lang w:val="id-ID"/>
        </w:rPr>
        <w:t>un 20</w:t>
      </w:r>
      <w:r>
        <w:rPr>
          <w:rFonts w:ascii="Tahoma" w:hAnsi="Tahoma" w:cs="Tahoma"/>
          <w:bCs w:val="0"/>
          <w:color w:val="000000"/>
          <w:sz w:val="22"/>
          <w:szCs w:val="22"/>
        </w:rPr>
        <w:t>20</w:t>
      </w:r>
    </w:p>
    <w:p>
      <w:pPr>
        <w:pStyle w:val="20"/>
        <w:numPr>
          <w:ilvl w:val="0"/>
          <w:numId w:val="0"/>
        </w:numPr>
        <w:ind w:left="709"/>
        <w:rPr>
          <w:rFonts w:ascii="Calibri" w:hAnsi="Calibri" w:cs="Book Antiqua"/>
          <w:b w:val="0"/>
          <w:bCs w:val="0"/>
          <w:color w:val="000000"/>
          <w:lang w:val="id-ID"/>
        </w:rPr>
      </w:pPr>
    </w:p>
    <w:tbl>
      <w:tblPr>
        <w:tblStyle w:val="7"/>
        <w:tblW w:w="8198"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3"/>
        <w:gridCol w:w="3165"/>
        <w:gridCol w:w="2126"/>
        <w:gridCol w:w="2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63" w:type="dxa"/>
            <w:shd w:val="clear" w:color="auto" w:fill="C7DAF1" w:themeFill="text2" w:themeFillTint="32"/>
            <w:vAlign w:val="center"/>
          </w:tcPr>
          <w:p>
            <w:pPr>
              <w:pStyle w:val="20"/>
              <w:numPr>
                <w:ilvl w:val="0"/>
                <w:numId w:val="0"/>
              </w:numPr>
              <w:rPr>
                <w:rFonts w:ascii="Calibri" w:hAnsi="Calibri" w:cs="Book Antiqua"/>
                <w:bCs w:val="0"/>
                <w:color w:val="000000"/>
              </w:rPr>
            </w:pPr>
            <w:r>
              <w:rPr>
                <w:rFonts w:ascii="Calibri" w:hAnsi="Calibri" w:cs="Book Antiqua"/>
                <w:bCs w:val="0"/>
                <w:color w:val="000000"/>
              </w:rPr>
              <w:t>NO.</w:t>
            </w:r>
          </w:p>
        </w:tc>
        <w:tc>
          <w:tcPr>
            <w:tcW w:w="3165" w:type="dxa"/>
            <w:shd w:val="clear" w:color="auto" w:fill="C7DAF1" w:themeFill="text2" w:themeFillTint="32"/>
            <w:vAlign w:val="center"/>
          </w:tcPr>
          <w:p>
            <w:pPr>
              <w:pStyle w:val="20"/>
              <w:numPr>
                <w:ilvl w:val="0"/>
                <w:numId w:val="0"/>
              </w:numPr>
              <w:rPr>
                <w:rFonts w:ascii="Tahoma" w:hAnsi="Tahoma" w:cs="Tahoma"/>
                <w:bCs w:val="0"/>
                <w:color w:val="000000"/>
                <w:sz w:val="22"/>
                <w:szCs w:val="22"/>
                <w:lang w:val="id-ID"/>
              </w:rPr>
            </w:pPr>
            <w:r>
              <w:rPr>
                <w:rFonts w:ascii="Tahoma" w:hAnsi="Tahoma" w:cs="Tahoma"/>
                <w:bCs w:val="0"/>
                <w:color w:val="000000"/>
                <w:sz w:val="22"/>
                <w:szCs w:val="22"/>
                <w:lang w:val="id-ID"/>
              </w:rPr>
              <w:t>SASARAN</w:t>
            </w:r>
          </w:p>
        </w:tc>
        <w:tc>
          <w:tcPr>
            <w:tcW w:w="2126" w:type="dxa"/>
            <w:shd w:val="clear" w:color="auto" w:fill="C7DAF1" w:themeFill="text2" w:themeFillTint="32"/>
            <w:vAlign w:val="center"/>
          </w:tcPr>
          <w:p>
            <w:pPr>
              <w:pStyle w:val="20"/>
              <w:numPr>
                <w:ilvl w:val="0"/>
                <w:numId w:val="0"/>
              </w:numPr>
              <w:rPr>
                <w:rFonts w:ascii="Tahoma" w:hAnsi="Tahoma" w:cs="Tahoma"/>
                <w:bCs w:val="0"/>
                <w:color w:val="000000"/>
                <w:sz w:val="22"/>
                <w:szCs w:val="22"/>
                <w:lang w:val="id-ID"/>
              </w:rPr>
            </w:pPr>
            <w:r>
              <w:rPr>
                <w:rFonts w:ascii="Tahoma" w:hAnsi="Tahoma" w:cs="Tahoma"/>
                <w:bCs w:val="0"/>
                <w:color w:val="000000"/>
                <w:sz w:val="22"/>
                <w:szCs w:val="22"/>
                <w:lang w:val="id-ID"/>
              </w:rPr>
              <w:t>INDIKATOR KINERJA</w:t>
            </w:r>
          </w:p>
        </w:tc>
        <w:tc>
          <w:tcPr>
            <w:tcW w:w="2244" w:type="dxa"/>
            <w:shd w:val="clear" w:color="auto" w:fill="C7DAF1" w:themeFill="text2" w:themeFillTint="32"/>
            <w:vAlign w:val="center"/>
          </w:tcPr>
          <w:p>
            <w:pPr>
              <w:pStyle w:val="20"/>
              <w:numPr>
                <w:ilvl w:val="0"/>
                <w:numId w:val="0"/>
              </w:numPr>
              <w:rPr>
                <w:rFonts w:ascii="Tahoma" w:hAnsi="Tahoma" w:cs="Tahoma"/>
                <w:bCs w:val="0"/>
                <w:color w:val="000000"/>
                <w:sz w:val="22"/>
                <w:szCs w:val="22"/>
                <w:lang w:val="id-ID"/>
              </w:rPr>
            </w:pPr>
            <w:r>
              <w:rPr>
                <w:rFonts w:ascii="Tahoma" w:hAnsi="Tahoma" w:cs="Tahoma"/>
                <w:bCs w:val="0"/>
                <w:color w:val="000000"/>
                <w:sz w:val="22"/>
                <w:szCs w:val="22"/>
                <w:lang w:val="id-ID"/>
              </w:rPr>
              <w:t>TARGET</w:t>
            </w:r>
          </w:p>
          <w:p>
            <w:pPr>
              <w:pStyle w:val="20"/>
              <w:numPr>
                <w:ilvl w:val="0"/>
                <w:numId w:val="0"/>
              </w:numPr>
              <w:rPr>
                <w:rFonts w:ascii="Tahoma" w:hAnsi="Tahoma" w:cs="Tahoma"/>
                <w:bCs w:val="0"/>
                <w:color w:val="000000"/>
                <w:sz w:val="22"/>
                <w:szCs w:val="22"/>
              </w:rPr>
            </w:pPr>
            <w:r>
              <w:rPr>
                <w:rFonts w:ascii="Tahoma" w:hAnsi="Tahoma" w:cs="Tahoma"/>
                <w:bCs w:val="0"/>
                <w:color w:val="000000"/>
                <w:sz w:val="22"/>
                <w:szCs w:val="22"/>
                <w:lang w:val="id-ID"/>
              </w:rPr>
              <w:t>20</w:t>
            </w:r>
            <w:r>
              <w:rPr>
                <w:rFonts w:ascii="Tahoma" w:hAnsi="Tahoma" w:cs="Tahoma"/>
                <w:bCs w:val="0"/>
                <w:color w:val="000000"/>
                <w:sz w:val="22"/>
                <w:szCs w:val="22"/>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1" w:hRule="atLeast"/>
        </w:trPr>
        <w:tc>
          <w:tcPr>
            <w:tcW w:w="663" w:type="dxa"/>
            <w:shd w:val="clear" w:color="auto" w:fill="FEF3EB"/>
          </w:tcPr>
          <w:p>
            <w:pPr>
              <w:pStyle w:val="20"/>
              <w:numPr>
                <w:ilvl w:val="0"/>
                <w:numId w:val="0"/>
              </w:numPr>
              <w:spacing w:before="120"/>
              <w:rPr>
                <w:rFonts w:ascii="Calibri" w:hAnsi="Calibri" w:cs="Book Antiqua"/>
                <w:b w:val="0"/>
                <w:bCs w:val="0"/>
                <w:color w:val="000000"/>
                <w:lang w:val="id-ID"/>
              </w:rPr>
            </w:pPr>
            <w:r>
              <w:rPr>
                <w:rFonts w:ascii="Calibri" w:hAnsi="Calibri" w:cs="Book Antiqua"/>
                <w:b w:val="0"/>
                <w:bCs w:val="0"/>
                <w:color w:val="000000"/>
                <w:lang w:val="id-ID"/>
              </w:rPr>
              <w:t>1</w:t>
            </w:r>
          </w:p>
          <w:p>
            <w:pPr>
              <w:pStyle w:val="20"/>
              <w:numPr>
                <w:ilvl w:val="0"/>
                <w:numId w:val="0"/>
              </w:numPr>
              <w:rPr>
                <w:rFonts w:ascii="Calibri" w:hAnsi="Calibri" w:cs="Book Antiqua"/>
                <w:b w:val="0"/>
                <w:bCs w:val="0"/>
                <w:color w:val="000000"/>
                <w:lang w:val="id-ID"/>
              </w:rPr>
            </w:pPr>
          </w:p>
        </w:tc>
        <w:tc>
          <w:tcPr>
            <w:tcW w:w="3165" w:type="dxa"/>
            <w:shd w:val="clear" w:color="auto" w:fill="FEF3EB"/>
          </w:tcPr>
          <w:p>
            <w:pPr>
              <w:pStyle w:val="20"/>
              <w:numPr>
                <w:ilvl w:val="0"/>
                <w:numId w:val="0"/>
              </w:numPr>
              <w:jc w:val="left"/>
              <w:rPr>
                <w:rFonts w:ascii="Tahoma" w:hAnsi="Tahoma" w:cs="Tahoma"/>
                <w:b w:val="0"/>
                <w:bCs w:val="0"/>
                <w:color w:val="000000"/>
                <w:sz w:val="22"/>
                <w:szCs w:val="22"/>
                <w:lang w:val="id-ID"/>
              </w:rPr>
            </w:pPr>
            <w:r>
              <w:rPr>
                <w:rFonts w:ascii="Tahoma" w:hAnsi="Tahoma" w:cs="Tahoma"/>
                <w:b w:val="0"/>
                <w:sz w:val="22"/>
                <w:szCs w:val="22"/>
                <w:lang w:val="id-ID"/>
              </w:rPr>
              <w:t xml:space="preserve">Meningkatnya </w:t>
            </w:r>
            <w:r>
              <w:rPr>
                <w:rFonts w:ascii="Tahoma" w:hAnsi="Tahoma" w:cs="Tahoma"/>
                <w:b w:val="0"/>
                <w:sz w:val="22"/>
                <w:szCs w:val="22"/>
              </w:rPr>
              <w:t>t</w:t>
            </w:r>
            <w:r>
              <w:rPr>
                <w:rFonts w:ascii="Tahoma" w:hAnsi="Tahoma" w:cs="Tahoma"/>
                <w:b w:val="0"/>
                <w:sz w:val="22"/>
                <w:szCs w:val="22"/>
                <w:lang w:val="id-ID"/>
              </w:rPr>
              <w:t>ransparansi dan akuntabilitas dalam penyelenggaraan pemerintahaan</w:t>
            </w:r>
          </w:p>
        </w:tc>
        <w:tc>
          <w:tcPr>
            <w:tcW w:w="2126" w:type="dxa"/>
            <w:shd w:val="clear" w:color="auto" w:fill="FEF3EB"/>
            <w:vAlign w:val="center"/>
          </w:tcPr>
          <w:p>
            <w:pPr>
              <w:pStyle w:val="20"/>
              <w:numPr>
                <w:ilvl w:val="0"/>
                <w:numId w:val="0"/>
              </w:numPr>
              <w:ind w:left="317"/>
              <w:jc w:val="left"/>
              <w:rPr>
                <w:rFonts w:ascii="Tahoma" w:hAnsi="Tahoma" w:cs="Tahoma"/>
                <w:b w:val="0"/>
                <w:bCs w:val="0"/>
                <w:color w:val="000000"/>
                <w:sz w:val="22"/>
                <w:szCs w:val="22"/>
                <w:lang w:val="id-ID"/>
              </w:rPr>
            </w:pPr>
            <w:r>
              <w:rPr>
                <w:rFonts w:ascii="Tahoma" w:hAnsi="Tahoma" w:cs="Tahoma"/>
                <w:b w:val="0"/>
                <w:sz w:val="22"/>
                <w:szCs w:val="22"/>
                <w:lang w:val="id-ID"/>
              </w:rPr>
              <w:t>Opini BPK</w:t>
            </w:r>
          </w:p>
        </w:tc>
        <w:tc>
          <w:tcPr>
            <w:tcW w:w="2244" w:type="dxa"/>
            <w:shd w:val="clear" w:color="auto" w:fill="FEF3EB"/>
            <w:vAlign w:val="center"/>
          </w:tcPr>
          <w:p>
            <w:pPr>
              <w:pStyle w:val="20"/>
              <w:numPr>
                <w:ilvl w:val="0"/>
                <w:numId w:val="0"/>
              </w:numPr>
              <w:rPr>
                <w:rFonts w:ascii="Tahoma" w:hAnsi="Tahoma" w:cs="Tahoma"/>
                <w:b w:val="0"/>
                <w:bCs w:val="0"/>
                <w:color w:val="000000"/>
                <w:sz w:val="22"/>
                <w:szCs w:val="22"/>
                <w:lang w:val="id-ID"/>
              </w:rPr>
            </w:pPr>
            <w:r>
              <w:rPr>
                <w:rFonts w:ascii="Tahoma" w:hAnsi="Tahoma" w:cs="Tahoma"/>
                <w:b w:val="0"/>
                <w:bCs w:val="0"/>
                <w:color w:val="000000"/>
                <w:sz w:val="22"/>
                <w:szCs w:val="22"/>
                <w:lang w:val="id-ID"/>
              </w:rPr>
              <w:t>WTP</w:t>
            </w:r>
          </w:p>
        </w:tc>
      </w:tr>
    </w:tbl>
    <w:p>
      <w:pPr>
        <w:pStyle w:val="20"/>
        <w:numPr>
          <w:ilvl w:val="0"/>
          <w:numId w:val="0"/>
        </w:numPr>
        <w:tabs>
          <w:tab w:val="clear" w:pos="1080"/>
        </w:tabs>
        <w:spacing w:before="240" w:afterLines="50" w:line="360" w:lineRule="auto"/>
        <w:ind w:left="426" w:firstLine="14"/>
        <w:jc w:val="both"/>
        <w:rPr>
          <w:rFonts w:ascii="Tahoma" w:hAnsi="Tahoma" w:cs="Tahoma"/>
          <w:b w:val="0"/>
          <w:bCs w:val="0"/>
          <w:color w:val="000000"/>
          <w:sz w:val="22"/>
          <w:szCs w:val="22"/>
          <w:lang w:val="id-ID"/>
        </w:rPr>
      </w:pPr>
      <w:r>
        <w:rPr>
          <w:rFonts w:ascii="Tahoma" w:hAnsi="Tahoma" w:cs="Tahoma"/>
          <w:b w:val="0"/>
          <w:bCs w:val="0"/>
          <w:color w:val="000000"/>
          <w:sz w:val="22"/>
          <w:szCs w:val="22"/>
          <w:lang w:val="id-ID"/>
        </w:rPr>
        <w:t>Dalam rangka memenuhi</w:t>
      </w:r>
      <w:r>
        <w:rPr>
          <w:rFonts w:ascii="Tahoma" w:hAnsi="Tahoma" w:cs="Tahoma"/>
          <w:b w:val="0"/>
          <w:bCs w:val="0"/>
          <w:color w:val="000000"/>
          <w:sz w:val="22"/>
          <w:szCs w:val="22"/>
        </w:rPr>
        <w:t xml:space="preserve"> s</w:t>
      </w:r>
      <w:r>
        <w:rPr>
          <w:rFonts w:ascii="Tahoma" w:hAnsi="Tahoma" w:cs="Tahoma"/>
          <w:b w:val="0"/>
          <w:bCs w:val="0"/>
          <w:color w:val="000000"/>
          <w:sz w:val="22"/>
          <w:szCs w:val="22"/>
          <w:lang w:val="id-ID"/>
        </w:rPr>
        <w:t>asaran yang telah ditetapkan maka dilaksanakan melalui strategi sebagai berikut :</w:t>
      </w:r>
    </w:p>
    <w:p>
      <w:pPr>
        <w:pStyle w:val="20"/>
        <w:numPr>
          <w:ilvl w:val="0"/>
          <w:numId w:val="23"/>
        </w:numPr>
        <w:tabs>
          <w:tab w:val="clear" w:pos="720"/>
          <w:tab w:val="clear" w:pos="1080"/>
        </w:tabs>
        <w:spacing w:line="360" w:lineRule="auto"/>
        <w:ind w:left="838" w:leftChars="199" w:hanging="400" w:hangingChars="182"/>
        <w:jc w:val="both"/>
        <w:rPr>
          <w:rFonts w:ascii="Tahoma" w:hAnsi="Tahoma" w:cs="Tahoma"/>
          <w:b w:val="0"/>
          <w:bCs w:val="0"/>
          <w:color w:val="000000"/>
          <w:sz w:val="22"/>
          <w:szCs w:val="22"/>
          <w:lang w:val="id-ID"/>
        </w:rPr>
      </w:pPr>
      <w:r>
        <w:rPr>
          <w:rFonts w:ascii="Tahoma" w:hAnsi="Tahoma" w:cs="Tahoma"/>
          <w:b w:val="0"/>
          <w:bCs w:val="0"/>
          <w:color w:val="000000"/>
          <w:sz w:val="22"/>
          <w:szCs w:val="22"/>
          <w:lang w:val="id-ID"/>
        </w:rPr>
        <w:t>Sasaran meningkatnya kualitas pengelolaan keuangan daerah</w:t>
      </w:r>
      <w:r>
        <w:rPr>
          <w:rFonts w:ascii="Tahoma" w:hAnsi="Tahoma" w:cs="Tahoma"/>
          <w:b w:val="0"/>
          <w:bCs w:val="0"/>
          <w:color w:val="000000"/>
          <w:sz w:val="22"/>
          <w:szCs w:val="22"/>
        </w:rPr>
        <w:t>,</w:t>
      </w:r>
      <w:r>
        <w:rPr>
          <w:rFonts w:ascii="Tahoma" w:hAnsi="Tahoma" w:cs="Tahoma"/>
          <w:b w:val="0"/>
          <w:bCs w:val="0"/>
          <w:color w:val="000000"/>
          <w:sz w:val="22"/>
          <w:szCs w:val="22"/>
          <w:lang w:val="id-ID"/>
        </w:rPr>
        <w:t xml:space="preserve"> strategi yang dilakukan adalah perencanaan penganggaran, penatausahaan</w:t>
      </w:r>
      <w:r>
        <w:rPr>
          <w:rFonts w:ascii="Tahoma" w:hAnsi="Tahoma" w:cs="Tahoma"/>
          <w:b w:val="0"/>
          <w:bCs w:val="0"/>
          <w:color w:val="000000"/>
          <w:sz w:val="22"/>
          <w:szCs w:val="22"/>
        </w:rPr>
        <w:t>,</w:t>
      </w:r>
      <w:r>
        <w:rPr>
          <w:rFonts w:ascii="Tahoma" w:hAnsi="Tahoma" w:cs="Tahoma"/>
          <w:b w:val="0"/>
          <w:bCs w:val="0"/>
          <w:color w:val="000000"/>
          <w:sz w:val="22"/>
          <w:szCs w:val="22"/>
          <w:lang w:val="id-ID"/>
        </w:rPr>
        <w:t xml:space="preserve"> dan pelaporan keuangan daerah ses</w:t>
      </w:r>
      <w:r>
        <w:rPr>
          <w:rFonts w:ascii="Tahoma" w:hAnsi="Tahoma" w:cs="Tahoma"/>
          <w:b w:val="0"/>
          <w:bCs w:val="0"/>
          <w:color w:val="000000"/>
          <w:sz w:val="22"/>
          <w:szCs w:val="22"/>
        </w:rPr>
        <w:t>uai</w:t>
      </w:r>
      <w:r>
        <w:rPr>
          <w:rFonts w:ascii="Tahoma" w:hAnsi="Tahoma" w:cs="Tahoma"/>
          <w:b w:val="0"/>
          <w:bCs w:val="0"/>
          <w:color w:val="000000"/>
          <w:sz w:val="22"/>
          <w:szCs w:val="22"/>
          <w:lang w:val="id-ID"/>
        </w:rPr>
        <w:t xml:space="preserve"> peraturan dan perundangan yang berlaku.</w:t>
      </w:r>
    </w:p>
    <w:p>
      <w:pPr>
        <w:pStyle w:val="20"/>
        <w:numPr>
          <w:ilvl w:val="0"/>
          <w:numId w:val="23"/>
        </w:numPr>
        <w:tabs>
          <w:tab w:val="clear" w:pos="720"/>
          <w:tab w:val="clear" w:pos="1080"/>
        </w:tabs>
        <w:spacing w:line="360" w:lineRule="auto"/>
        <w:ind w:left="838" w:leftChars="199" w:hanging="400" w:hangingChars="182"/>
        <w:jc w:val="both"/>
        <w:rPr>
          <w:rFonts w:ascii="Tahoma" w:hAnsi="Tahoma" w:cs="Tahoma"/>
          <w:b w:val="0"/>
          <w:bCs w:val="0"/>
          <w:color w:val="000000"/>
          <w:sz w:val="22"/>
          <w:szCs w:val="22"/>
          <w:lang w:val="id-ID"/>
        </w:rPr>
      </w:pPr>
      <w:r>
        <w:rPr>
          <w:rFonts w:ascii="Tahoma" w:hAnsi="Tahoma" w:cs="Tahoma"/>
          <w:b w:val="0"/>
          <w:bCs w:val="0"/>
          <w:color w:val="000000"/>
          <w:sz w:val="22"/>
          <w:szCs w:val="22"/>
          <w:lang w:val="id-ID"/>
        </w:rPr>
        <w:t xml:space="preserve">Sasaran meningkatnya kualitas APBD </w:t>
      </w:r>
      <w:r>
        <w:rPr>
          <w:rFonts w:ascii="Tahoma" w:hAnsi="Tahoma" w:cs="Tahoma"/>
          <w:b w:val="0"/>
          <w:bCs w:val="0"/>
          <w:color w:val="000000"/>
          <w:sz w:val="22"/>
          <w:szCs w:val="22"/>
        </w:rPr>
        <w:t>K</w:t>
      </w:r>
      <w:r>
        <w:rPr>
          <w:rFonts w:ascii="Tahoma" w:hAnsi="Tahoma" w:cs="Tahoma"/>
          <w:b w:val="0"/>
          <w:bCs w:val="0"/>
          <w:color w:val="000000"/>
          <w:sz w:val="22"/>
          <w:szCs w:val="22"/>
          <w:lang w:val="id-ID"/>
        </w:rPr>
        <w:t xml:space="preserve">abupaten/Kota, </w:t>
      </w:r>
      <w:r>
        <w:rPr>
          <w:rFonts w:ascii="Tahoma" w:hAnsi="Tahoma" w:cs="Tahoma"/>
          <w:b w:val="0"/>
          <w:bCs w:val="0"/>
          <w:color w:val="000000"/>
          <w:sz w:val="22"/>
          <w:szCs w:val="22"/>
        </w:rPr>
        <w:t>s</w:t>
      </w:r>
      <w:r>
        <w:rPr>
          <w:rFonts w:ascii="Tahoma" w:hAnsi="Tahoma" w:cs="Tahoma"/>
          <w:b w:val="0"/>
          <w:bCs w:val="0"/>
          <w:color w:val="000000"/>
          <w:sz w:val="22"/>
          <w:szCs w:val="22"/>
          <w:lang w:val="id-ID"/>
        </w:rPr>
        <w:t xml:space="preserve">trategi yang dilakukan adalah </w:t>
      </w:r>
      <w:r>
        <w:rPr>
          <w:rFonts w:ascii="Tahoma" w:hAnsi="Tahoma" w:cs="Tahoma"/>
          <w:b w:val="0"/>
          <w:bCs w:val="0"/>
          <w:color w:val="000000"/>
          <w:sz w:val="22"/>
          <w:szCs w:val="22"/>
        </w:rPr>
        <w:t>e</w:t>
      </w:r>
      <w:r>
        <w:rPr>
          <w:rFonts w:ascii="Tahoma" w:hAnsi="Tahoma" w:cs="Tahoma"/>
          <w:b w:val="0"/>
          <w:bCs w:val="0"/>
          <w:color w:val="000000"/>
          <w:sz w:val="22"/>
          <w:szCs w:val="22"/>
          <w:lang w:val="id-ID"/>
        </w:rPr>
        <w:t xml:space="preserve">valuasi APBD </w:t>
      </w:r>
      <w:r>
        <w:rPr>
          <w:rFonts w:ascii="Tahoma" w:hAnsi="Tahoma" w:cs="Tahoma"/>
          <w:b w:val="0"/>
          <w:bCs w:val="0"/>
          <w:color w:val="000000"/>
          <w:sz w:val="22"/>
          <w:szCs w:val="22"/>
        </w:rPr>
        <w:t>Kabupaten</w:t>
      </w:r>
      <w:r>
        <w:rPr>
          <w:rFonts w:ascii="Tahoma" w:hAnsi="Tahoma" w:cs="Tahoma"/>
          <w:b w:val="0"/>
          <w:bCs w:val="0"/>
          <w:color w:val="000000"/>
          <w:sz w:val="22"/>
          <w:szCs w:val="22"/>
          <w:lang w:val="id-ID"/>
        </w:rPr>
        <w:t>/Kota sesuai perundang-undangan yang berlaku.</w:t>
      </w:r>
    </w:p>
    <w:p>
      <w:pPr>
        <w:pStyle w:val="20"/>
        <w:numPr>
          <w:ilvl w:val="0"/>
          <w:numId w:val="23"/>
        </w:numPr>
        <w:tabs>
          <w:tab w:val="clear" w:pos="720"/>
          <w:tab w:val="clear" w:pos="1080"/>
        </w:tabs>
        <w:spacing w:line="360" w:lineRule="auto"/>
        <w:ind w:left="838" w:leftChars="199" w:hanging="400" w:hangingChars="182"/>
        <w:jc w:val="both"/>
        <w:rPr>
          <w:rFonts w:ascii="Tahoma" w:hAnsi="Tahoma" w:cs="Tahoma"/>
          <w:b w:val="0"/>
          <w:bCs w:val="0"/>
          <w:color w:val="000000"/>
          <w:sz w:val="22"/>
          <w:szCs w:val="22"/>
          <w:lang w:val="id-ID"/>
        </w:rPr>
      </w:pPr>
      <w:r>
        <w:rPr>
          <w:rFonts w:ascii="Tahoma" w:hAnsi="Tahoma" w:cs="Tahoma"/>
          <w:b w:val="0"/>
          <w:bCs w:val="0"/>
          <w:color w:val="000000"/>
          <w:sz w:val="22"/>
          <w:szCs w:val="22"/>
          <w:lang w:val="id-ID"/>
        </w:rPr>
        <w:t>Sasaran meningkatnya pendapatan asli daerah, strategi yang dilakukan adalah perbaikan manajemen terhadap semua potensi pendapatan daerah dari pajak, retribusi dan lain-lain pendapatan asli daerah serta intensifikasi dan ekstensifikasi pendapatan daerah dari pajak, retribusi dan lain-lain pendapatan yang sah.</w:t>
      </w:r>
    </w:p>
    <w:p>
      <w:pPr>
        <w:pStyle w:val="20"/>
        <w:numPr>
          <w:ilvl w:val="0"/>
          <w:numId w:val="23"/>
        </w:numPr>
        <w:tabs>
          <w:tab w:val="clear" w:pos="720"/>
          <w:tab w:val="clear" w:pos="1080"/>
        </w:tabs>
        <w:spacing w:line="360" w:lineRule="auto"/>
        <w:ind w:left="838" w:leftChars="199" w:hanging="400" w:hangingChars="182"/>
        <w:jc w:val="both"/>
        <w:rPr>
          <w:rFonts w:ascii="Tahoma" w:hAnsi="Tahoma" w:cs="Tahoma"/>
          <w:b w:val="0"/>
          <w:bCs w:val="0"/>
          <w:color w:val="000000"/>
          <w:sz w:val="22"/>
          <w:szCs w:val="22"/>
          <w:lang w:val="id-ID"/>
        </w:rPr>
      </w:pPr>
      <w:r>
        <w:rPr>
          <w:rFonts w:ascii="Tahoma" w:hAnsi="Tahoma" w:cs="Tahoma"/>
          <w:b w:val="0"/>
          <w:bCs w:val="0"/>
          <w:color w:val="000000"/>
          <w:sz w:val="22"/>
          <w:szCs w:val="22"/>
          <w:lang w:val="id-ID"/>
        </w:rPr>
        <w:t>Sasaran meningkatnya kualitas pelayan publik</w:t>
      </w:r>
      <w:r>
        <w:rPr>
          <w:rFonts w:ascii="Tahoma" w:hAnsi="Tahoma" w:cs="Tahoma"/>
          <w:b w:val="0"/>
          <w:bCs w:val="0"/>
          <w:color w:val="000000"/>
          <w:sz w:val="22"/>
          <w:szCs w:val="22"/>
        </w:rPr>
        <w:t>,</w:t>
      </w:r>
      <w:r>
        <w:rPr>
          <w:rFonts w:hint="default" w:ascii="Tahoma" w:hAnsi="Tahoma" w:cs="Tahoma"/>
          <w:b w:val="0"/>
          <w:bCs w:val="0"/>
          <w:color w:val="000000"/>
          <w:sz w:val="22"/>
          <w:szCs w:val="22"/>
          <w:lang w:val="en-US"/>
        </w:rPr>
        <w:t xml:space="preserve"> </w:t>
      </w:r>
      <w:r>
        <w:rPr>
          <w:rFonts w:ascii="Tahoma" w:hAnsi="Tahoma" w:cs="Tahoma"/>
          <w:b w:val="0"/>
          <w:bCs w:val="0"/>
          <w:color w:val="000000"/>
          <w:sz w:val="22"/>
          <w:szCs w:val="22"/>
        </w:rPr>
        <w:t>s</w:t>
      </w:r>
      <w:r>
        <w:rPr>
          <w:rFonts w:ascii="Tahoma" w:hAnsi="Tahoma" w:cs="Tahoma"/>
          <w:b w:val="0"/>
          <w:bCs w:val="0"/>
          <w:color w:val="000000"/>
          <w:sz w:val="22"/>
          <w:szCs w:val="22"/>
          <w:lang w:val="id-ID"/>
        </w:rPr>
        <w:t>trategi yang dilakukan adalah memenuhi sarana dan prasaran</w:t>
      </w:r>
      <w:r>
        <w:rPr>
          <w:rFonts w:ascii="Tahoma" w:hAnsi="Tahoma" w:cs="Tahoma"/>
          <w:b w:val="0"/>
          <w:bCs w:val="0"/>
          <w:color w:val="000000"/>
          <w:sz w:val="22"/>
          <w:szCs w:val="22"/>
        </w:rPr>
        <w:t>a</w:t>
      </w:r>
      <w:r>
        <w:rPr>
          <w:rFonts w:ascii="Tahoma" w:hAnsi="Tahoma" w:cs="Tahoma"/>
          <w:b w:val="0"/>
          <w:bCs w:val="0"/>
          <w:color w:val="000000"/>
          <w:sz w:val="22"/>
          <w:szCs w:val="22"/>
          <w:lang w:val="id-ID"/>
        </w:rPr>
        <w:t xml:space="preserve"> UPTD PPD </w:t>
      </w:r>
      <w:r>
        <w:rPr>
          <w:rFonts w:ascii="Tahoma" w:hAnsi="Tahoma" w:cs="Tahoma"/>
          <w:b w:val="0"/>
          <w:bCs w:val="0"/>
          <w:color w:val="000000"/>
          <w:sz w:val="22"/>
          <w:szCs w:val="22"/>
        </w:rPr>
        <w:t>Badan Keuangan Daerah.</w:t>
      </w:r>
    </w:p>
    <w:p>
      <w:pPr>
        <w:pStyle w:val="20"/>
        <w:numPr>
          <w:ilvl w:val="0"/>
          <w:numId w:val="23"/>
        </w:numPr>
        <w:tabs>
          <w:tab w:val="clear" w:pos="720"/>
          <w:tab w:val="clear" w:pos="1080"/>
        </w:tabs>
        <w:spacing w:line="360" w:lineRule="auto"/>
        <w:ind w:left="838" w:leftChars="199" w:hanging="400" w:hangingChars="182"/>
        <w:jc w:val="both"/>
        <w:rPr>
          <w:rFonts w:ascii="Tahoma" w:hAnsi="Tahoma" w:cs="Tahoma"/>
          <w:b w:val="0"/>
          <w:bCs w:val="0"/>
          <w:color w:val="000000"/>
          <w:sz w:val="22"/>
          <w:szCs w:val="22"/>
          <w:lang w:val="id-ID"/>
        </w:rPr>
      </w:pPr>
      <w:r>
        <w:rPr>
          <w:rFonts w:ascii="Tahoma" w:hAnsi="Tahoma" w:cs="Tahoma"/>
          <w:b w:val="0"/>
          <w:bCs w:val="0"/>
          <w:color w:val="000000"/>
          <w:sz w:val="22"/>
          <w:szCs w:val="22"/>
          <w:lang w:val="id-ID"/>
        </w:rPr>
        <w:t>Sasaran meningkatnya tata kelola organisasi</w:t>
      </w:r>
      <w:r>
        <w:rPr>
          <w:rFonts w:ascii="Tahoma" w:hAnsi="Tahoma" w:cs="Tahoma"/>
          <w:b w:val="0"/>
          <w:bCs w:val="0"/>
          <w:color w:val="000000"/>
          <w:sz w:val="22"/>
          <w:szCs w:val="22"/>
        </w:rPr>
        <w:t>,</w:t>
      </w:r>
      <w:r>
        <w:rPr>
          <w:rFonts w:hint="default" w:ascii="Tahoma" w:hAnsi="Tahoma" w:cs="Tahoma"/>
          <w:b w:val="0"/>
          <w:bCs w:val="0"/>
          <w:color w:val="000000"/>
          <w:sz w:val="22"/>
          <w:szCs w:val="22"/>
          <w:lang w:val="en-US"/>
        </w:rPr>
        <w:t xml:space="preserve"> </w:t>
      </w:r>
      <w:r>
        <w:rPr>
          <w:rFonts w:ascii="Tahoma" w:hAnsi="Tahoma" w:cs="Tahoma"/>
          <w:b w:val="0"/>
          <w:bCs w:val="0"/>
          <w:color w:val="000000"/>
          <w:sz w:val="22"/>
          <w:szCs w:val="22"/>
        </w:rPr>
        <w:t>s</w:t>
      </w:r>
      <w:r>
        <w:rPr>
          <w:rFonts w:ascii="Tahoma" w:hAnsi="Tahoma" w:cs="Tahoma"/>
          <w:b w:val="0"/>
          <w:bCs w:val="0"/>
          <w:color w:val="000000"/>
          <w:sz w:val="22"/>
          <w:szCs w:val="22"/>
          <w:lang w:val="id-ID"/>
        </w:rPr>
        <w:t xml:space="preserve">trategi yang dilakukan adalah dengan melakukan pembaharuan pada SOP </w:t>
      </w:r>
      <w:r>
        <w:rPr>
          <w:rFonts w:ascii="Tahoma" w:hAnsi="Tahoma" w:cs="Tahoma"/>
          <w:b w:val="0"/>
          <w:bCs w:val="0"/>
          <w:color w:val="000000"/>
          <w:sz w:val="22"/>
          <w:szCs w:val="22"/>
        </w:rPr>
        <w:t>serta</w:t>
      </w:r>
      <w:r>
        <w:rPr>
          <w:rFonts w:ascii="Tahoma" w:hAnsi="Tahoma" w:cs="Tahoma"/>
          <w:b w:val="0"/>
          <w:bCs w:val="0"/>
          <w:color w:val="000000"/>
          <w:sz w:val="22"/>
          <w:szCs w:val="22"/>
          <w:lang w:val="id-ID"/>
        </w:rPr>
        <w:t xml:space="preserve"> evaluasi dan pengawasan. </w:t>
      </w:r>
    </w:p>
    <w:p>
      <w:pPr>
        <w:pStyle w:val="20"/>
        <w:numPr>
          <w:ilvl w:val="0"/>
          <w:numId w:val="0"/>
        </w:numPr>
        <w:tabs>
          <w:tab w:val="left" w:pos="720"/>
          <w:tab w:val="clear" w:pos="1080"/>
        </w:tabs>
        <w:spacing w:line="360" w:lineRule="auto"/>
        <w:ind w:left="838"/>
        <w:jc w:val="both"/>
        <w:rPr>
          <w:rFonts w:ascii="Tahoma" w:hAnsi="Tahoma" w:cs="Tahoma"/>
          <w:b w:val="0"/>
          <w:bCs w:val="0"/>
          <w:color w:val="000000"/>
          <w:sz w:val="22"/>
          <w:szCs w:val="22"/>
          <w:lang w:val="id-ID"/>
        </w:rPr>
      </w:pPr>
    </w:p>
    <w:p>
      <w:pPr>
        <w:pStyle w:val="10"/>
        <w:numPr>
          <w:ilvl w:val="0"/>
          <w:numId w:val="13"/>
        </w:numPr>
        <w:spacing w:before="120" w:after="120"/>
        <w:ind w:left="449" w:hanging="449"/>
        <w:rPr>
          <w:rFonts w:ascii="Tahoma" w:hAnsi="Tahoma" w:cs="Tahoma"/>
          <w:b/>
          <w:color w:val="000000"/>
          <w:sz w:val="28"/>
          <w:szCs w:val="28"/>
          <w:lang w:val="id-ID"/>
        </w:rPr>
      </w:pPr>
      <w:r>
        <w:rPr>
          <w:rFonts w:ascii="Tahoma" w:hAnsi="Tahoma" w:cs="Tahoma"/>
          <w:b/>
          <w:color w:val="000000"/>
          <w:sz w:val="28"/>
          <w:szCs w:val="28"/>
          <w:lang w:val="id-ID"/>
        </w:rPr>
        <w:t>PERMASALAHAN UTAMA (ISU STRATEGIS)</w:t>
      </w:r>
    </w:p>
    <w:p>
      <w:pPr>
        <w:pStyle w:val="10"/>
        <w:spacing w:before="120" w:after="120"/>
        <w:ind w:left="449" w:firstLine="0"/>
        <w:rPr>
          <w:rFonts w:ascii="Tahoma" w:hAnsi="Tahoma" w:cs="Tahoma"/>
          <w:sz w:val="22"/>
          <w:szCs w:val="22"/>
          <w:lang w:val="id-ID"/>
        </w:rPr>
      </w:pPr>
      <w:r>
        <w:rPr>
          <w:rFonts w:ascii="Tahoma" w:hAnsi="Tahoma" w:cs="Tahoma"/>
          <w:sz w:val="22"/>
          <w:szCs w:val="22"/>
        </w:rPr>
        <w:t xml:space="preserve">Pelaksanaan kinerja Pemerintah selalu mengalami perubahan untuk mewujudkan tuntutan masyarakat yang selalu mencermati dan memperhatikan kinerja Pemerintah dalam pelayanan. Penyelenggaraan Pemerintah Daerah dimulai dari strukturalisasi kelembagaan, reformasi birokrasi yang dibuat dalam tahapan yang konsisten dan berkelanjutan sehingga dapat meningkatkan pelayanan yang berorientasi pada peningkatan kinerja instansi, sehingga terwujud tujuan Pemerintah daerah dalam mencapai Good </w:t>
      </w:r>
      <w:r>
        <w:rPr>
          <w:rFonts w:hint="default" w:ascii="Tahoma" w:hAnsi="Tahoma" w:cs="Tahoma"/>
          <w:sz w:val="22"/>
          <w:szCs w:val="22"/>
          <w:lang w:val="en-US"/>
        </w:rPr>
        <w:t>and</w:t>
      </w:r>
      <w:r>
        <w:rPr>
          <w:rFonts w:ascii="Tahoma" w:hAnsi="Tahoma" w:cs="Tahoma"/>
          <w:sz w:val="22"/>
          <w:szCs w:val="22"/>
        </w:rPr>
        <w:t xml:space="preserve"> Clean Gover</w:t>
      </w:r>
      <w:r>
        <w:rPr>
          <w:rFonts w:hint="default" w:ascii="Tahoma" w:hAnsi="Tahoma" w:cs="Tahoma"/>
          <w:sz w:val="22"/>
          <w:szCs w:val="22"/>
          <w:lang w:val="en-US"/>
        </w:rPr>
        <w:t>m</w:t>
      </w:r>
      <w:r>
        <w:rPr>
          <w:rFonts w:ascii="Tahoma" w:hAnsi="Tahoma" w:cs="Tahoma"/>
          <w:sz w:val="22"/>
          <w:szCs w:val="22"/>
        </w:rPr>
        <w:t>ance. Adapun beberapa permasalahan</w:t>
      </w:r>
      <w:r>
        <w:rPr>
          <w:rFonts w:ascii="Tahoma" w:hAnsi="Tahoma" w:cs="Tahoma"/>
          <w:sz w:val="22"/>
          <w:szCs w:val="22"/>
          <w:lang w:val="id-ID"/>
        </w:rPr>
        <w:t xml:space="preserve"> yang dihadapi</w:t>
      </w:r>
      <w:r>
        <w:rPr>
          <w:rFonts w:ascii="Tahoma" w:hAnsi="Tahoma" w:cs="Tahoma"/>
          <w:sz w:val="22"/>
          <w:szCs w:val="22"/>
        </w:rPr>
        <w:t xml:space="preserve"> . </w:t>
      </w:r>
    </w:p>
    <w:p>
      <w:pPr>
        <w:pStyle w:val="10"/>
        <w:keepNext w:val="0"/>
        <w:keepLines w:val="0"/>
        <w:pageBreakBefore w:val="0"/>
        <w:widowControl/>
        <w:numPr>
          <w:ilvl w:val="1"/>
          <w:numId w:val="23"/>
        </w:numPr>
        <w:tabs>
          <w:tab w:val="clear" w:pos="1440"/>
        </w:tabs>
        <w:kinsoku/>
        <w:wordWrap/>
        <w:overflowPunct/>
        <w:topLinePunct w:val="0"/>
        <w:autoSpaceDE/>
        <w:autoSpaceDN/>
        <w:bidi w:val="0"/>
        <w:adjustRightInd/>
        <w:snapToGrid/>
        <w:spacing w:before="120" w:after="120"/>
        <w:ind w:left="839" w:leftChars="0" w:hanging="399" w:firstLineChars="0"/>
        <w:textAlignment w:val="auto"/>
        <w:rPr>
          <w:rFonts w:ascii="Tahoma" w:hAnsi="Tahoma" w:cs="Tahoma"/>
          <w:b/>
          <w:color w:val="000000"/>
          <w:sz w:val="22"/>
          <w:szCs w:val="22"/>
          <w:lang w:val="id-ID"/>
        </w:rPr>
      </w:pPr>
      <w:r>
        <w:rPr>
          <w:rFonts w:ascii="Tahoma" w:hAnsi="Tahoma" w:cs="Tahoma"/>
          <w:sz w:val="22"/>
          <w:szCs w:val="22"/>
        </w:rPr>
        <w:t xml:space="preserve">Masih ada beberapa OPD yang mengirim laporan belum valid dan tidak sesuai standar akuntansi serta belum tepat waktu. </w:t>
      </w:r>
    </w:p>
    <w:p>
      <w:pPr>
        <w:pStyle w:val="10"/>
        <w:keepNext w:val="0"/>
        <w:keepLines w:val="0"/>
        <w:pageBreakBefore w:val="0"/>
        <w:widowControl/>
        <w:numPr>
          <w:ilvl w:val="1"/>
          <w:numId w:val="23"/>
        </w:numPr>
        <w:tabs>
          <w:tab w:val="clear" w:pos="1440"/>
        </w:tabs>
        <w:kinsoku/>
        <w:wordWrap/>
        <w:overflowPunct/>
        <w:topLinePunct w:val="0"/>
        <w:autoSpaceDE/>
        <w:autoSpaceDN/>
        <w:bidi w:val="0"/>
        <w:adjustRightInd/>
        <w:snapToGrid/>
        <w:spacing w:before="120" w:after="120"/>
        <w:ind w:left="839" w:leftChars="0" w:hanging="399" w:firstLineChars="0"/>
        <w:textAlignment w:val="auto"/>
        <w:rPr>
          <w:rFonts w:ascii="Tahoma" w:hAnsi="Tahoma" w:cs="Tahoma"/>
          <w:b/>
          <w:color w:val="000000"/>
          <w:sz w:val="22"/>
          <w:szCs w:val="22"/>
          <w:lang w:val="id-ID"/>
        </w:rPr>
      </w:pPr>
      <w:r>
        <w:rPr>
          <w:rFonts w:ascii="Tahoma" w:hAnsi="Tahoma" w:cs="Tahoma"/>
          <w:sz w:val="22"/>
          <w:szCs w:val="22"/>
        </w:rPr>
        <w:t xml:space="preserve">Pembinaan Pola Pengelolaan Keuangan BLUD masih perlu ditingkatkan. </w:t>
      </w:r>
    </w:p>
    <w:p>
      <w:pPr>
        <w:pStyle w:val="10"/>
        <w:keepNext w:val="0"/>
        <w:keepLines w:val="0"/>
        <w:pageBreakBefore w:val="0"/>
        <w:widowControl/>
        <w:numPr>
          <w:ilvl w:val="1"/>
          <w:numId w:val="23"/>
        </w:numPr>
        <w:tabs>
          <w:tab w:val="clear" w:pos="1440"/>
        </w:tabs>
        <w:kinsoku/>
        <w:wordWrap/>
        <w:overflowPunct/>
        <w:topLinePunct w:val="0"/>
        <w:autoSpaceDE/>
        <w:autoSpaceDN/>
        <w:bidi w:val="0"/>
        <w:adjustRightInd/>
        <w:snapToGrid/>
        <w:spacing w:before="120" w:after="120"/>
        <w:ind w:left="839" w:leftChars="0" w:hanging="399" w:firstLineChars="0"/>
        <w:textAlignment w:val="auto"/>
        <w:rPr>
          <w:rFonts w:ascii="Tahoma" w:hAnsi="Tahoma" w:cs="Tahoma"/>
          <w:b/>
          <w:color w:val="000000"/>
          <w:sz w:val="22"/>
          <w:szCs w:val="22"/>
          <w:lang w:val="id-ID"/>
        </w:rPr>
      </w:pPr>
      <w:r>
        <w:rPr>
          <w:rFonts w:ascii="Tahoma" w:hAnsi="Tahoma" w:cs="Tahoma"/>
          <w:sz w:val="22"/>
          <w:szCs w:val="22"/>
        </w:rPr>
        <w:t xml:space="preserve">Perlu adanya evaluasi pelaksanaan transaksi non tunai yang berkelanjutan untuk mendukung transparansi keuangan daerah. </w:t>
      </w:r>
    </w:p>
    <w:p>
      <w:pPr>
        <w:pStyle w:val="10"/>
        <w:keepNext w:val="0"/>
        <w:keepLines w:val="0"/>
        <w:pageBreakBefore w:val="0"/>
        <w:widowControl/>
        <w:numPr>
          <w:ilvl w:val="1"/>
          <w:numId w:val="23"/>
        </w:numPr>
        <w:tabs>
          <w:tab w:val="clear" w:pos="1440"/>
        </w:tabs>
        <w:kinsoku/>
        <w:wordWrap/>
        <w:overflowPunct/>
        <w:topLinePunct w:val="0"/>
        <w:autoSpaceDE/>
        <w:autoSpaceDN/>
        <w:bidi w:val="0"/>
        <w:adjustRightInd/>
        <w:snapToGrid/>
        <w:spacing w:before="120" w:after="120"/>
        <w:ind w:left="839" w:leftChars="0" w:hanging="399" w:firstLineChars="0"/>
        <w:textAlignment w:val="auto"/>
        <w:rPr>
          <w:rFonts w:ascii="Tahoma" w:hAnsi="Tahoma" w:cs="Tahoma"/>
          <w:sz w:val="22"/>
          <w:szCs w:val="22"/>
          <w:lang w:val="id-ID"/>
        </w:rPr>
      </w:pPr>
      <w:r>
        <w:rPr>
          <w:rFonts w:ascii="Tahoma" w:hAnsi="Tahoma" w:cs="Tahoma"/>
          <w:sz w:val="22"/>
          <w:szCs w:val="22"/>
        </w:rPr>
        <w:t>Kepatuhan Wajib Pajak dalam perhitungan dan pelaporan pajak masih perlu ditingkatkan</w:t>
      </w:r>
    </w:p>
    <w:p>
      <w:pPr>
        <w:pStyle w:val="10"/>
        <w:keepNext w:val="0"/>
        <w:keepLines w:val="0"/>
        <w:pageBreakBefore w:val="0"/>
        <w:widowControl/>
        <w:numPr>
          <w:ilvl w:val="1"/>
          <w:numId w:val="23"/>
        </w:numPr>
        <w:tabs>
          <w:tab w:val="clear" w:pos="1440"/>
        </w:tabs>
        <w:kinsoku/>
        <w:wordWrap/>
        <w:overflowPunct/>
        <w:topLinePunct w:val="0"/>
        <w:autoSpaceDE/>
        <w:autoSpaceDN/>
        <w:bidi w:val="0"/>
        <w:adjustRightInd/>
        <w:snapToGrid/>
        <w:spacing w:before="120" w:after="120"/>
        <w:ind w:left="839" w:leftChars="0" w:hanging="399" w:firstLineChars="0"/>
        <w:textAlignment w:val="auto"/>
        <w:rPr>
          <w:rFonts w:ascii="Tahoma" w:hAnsi="Tahoma" w:cs="Tahoma"/>
          <w:color w:val="000000"/>
          <w:sz w:val="22"/>
          <w:szCs w:val="22"/>
          <w:lang w:val="id-ID"/>
        </w:rPr>
      </w:pPr>
      <w:r>
        <w:rPr>
          <w:rFonts w:ascii="Tahoma" w:hAnsi="Tahoma" w:cs="Tahoma"/>
          <w:sz w:val="22"/>
          <w:szCs w:val="22"/>
          <w:lang w:val="id-ID"/>
        </w:rPr>
        <w:t>B</w:t>
      </w:r>
      <w:r>
        <w:rPr>
          <w:rFonts w:ascii="Tahoma" w:hAnsi="Tahoma" w:cs="Tahoma"/>
          <w:sz w:val="22"/>
          <w:szCs w:val="22"/>
        </w:rPr>
        <w:t>elum optim</w:t>
      </w:r>
      <w:r>
        <w:rPr>
          <w:rFonts w:ascii="Tahoma" w:hAnsi="Tahoma" w:cs="Tahoma"/>
          <w:sz w:val="22"/>
          <w:szCs w:val="22"/>
          <w:lang w:val="id-ID"/>
        </w:rPr>
        <w:t>alnya</w:t>
      </w:r>
      <w:r>
        <w:rPr>
          <w:rFonts w:ascii="Tahoma" w:hAnsi="Tahoma" w:cs="Tahoma"/>
          <w:sz w:val="22"/>
          <w:szCs w:val="22"/>
        </w:rPr>
        <w:t xml:space="preserve"> penerimaan pajak daerah, retribusi daerah atau bahkan penerimaan dari hasil kekayaan daerah yang dipisahk</w:t>
      </w:r>
      <w:r>
        <w:rPr>
          <w:rFonts w:ascii="Tahoma" w:hAnsi="Tahoma" w:cs="Tahoma"/>
          <w:sz w:val="22"/>
          <w:szCs w:val="22"/>
          <w:lang w:val="id-ID"/>
        </w:rPr>
        <w:t>a</w:t>
      </w:r>
      <w:r>
        <w:rPr>
          <w:rFonts w:ascii="Tahoma" w:hAnsi="Tahoma" w:cs="Tahoma"/>
          <w:sz w:val="22"/>
          <w:szCs w:val="22"/>
        </w:rPr>
        <w:t>n</w:t>
      </w:r>
      <w:r>
        <w:rPr>
          <w:rFonts w:ascii="Tahoma" w:hAnsi="Tahoma" w:cs="Tahoma"/>
          <w:sz w:val="22"/>
          <w:szCs w:val="22"/>
          <w:lang w:val="id-ID"/>
        </w:rPr>
        <w:t>.</w:t>
      </w:r>
    </w:p>
    <w:p>
      <w:pPr>
        <w:pStyle w:val="10"/>
        <w:keepNext w:val="0"/>
        <w:keepLines w:val="0"/>
        <w:pageBreakBefore w:val="0"/>
        <w:widowControl/>
        <w:numPr>
          <w:ilvl w:val="1"/>
          <w:numId w:val="23"/>
        </w:numPr>
        <w:tabs>
          <w:tab w:val="clear" w:pos="1440"/>
        </w:tabs>
        <w:kinsoku/>
        <w:wordWrap/>
        <w:overflowPunct/>
        <w:topLinePunct w:val="0"/>
        <w:autoSpaceDE/>
        <w:autoSpaceDN/>
        <w:bidi w:val="0"/>
        <w:adjustRightInd/>
        <w:snapToGrid/>
        <w:spacing w:before="120" w:after="120"/>
        <w:ind w:left="839" w:leftChars="0" w:hanging="399" w:firstLineChars="0"/>
        <w:textAlignment w:val="auto"/>
        <w:rPr>
          <w:rFonts w:ascii="Tahoma" w:hAnsi="Tahoma" w:cs="Tahoma"/>
          <w:color w:val="000000"/>
          <w:sz w:val="22"/>
          <w:szCs w:val="22"/>
          <w:lang w:val="id-ID"/>
        </w:rPr>
      </w:pPr>
      <w:r>
        <w:rPr>
          <w:rFonts w:ascii="Tahoma" w:hAnsi="Tahoma" w:cs="Tahoma"/>
          <w:sz w:val="22"/>
          <w:szCs w:val="22"/>
          <w:lang w:val="id-ID"/>
        </w:rPr>
        <w:t>K</w:t>
      </w:r>
      <w:r>
        <w:rPr>
          <w:rFonts w:ascii="Tahoma" w:hAnsi="Tahoma" w:cs="Tahoma"/>
          <w:sz w:val="22"/>
          <w:szCs w:val="22"/>
        </w:rPr>
        <w:t>esiapan Sumber Daya Manusia (SDM) baik dalam kuantitas maupun kualitas. Disadari bahwa dengan sistem yang masih belum sepenuhnya terintegrasi, jumlah SDM untuk dapat melakukan pemungutan pajak dan retribusi masih sangat kurang. Pemahaman SDM terkait dengan pajak dan retribusi daerah menjadi penting karena SDM di lapangan harus dapat memberi penjelasan yang mudah dimengerti masyarakat. Pemahaman SDM menjadi tombak untuk membangun kesadaran pentingnya  membayar pajak dan retribusi dari masyarakat guna menunjang peningkatan kualitas dan kuantitas SDM</w:t>
      </w:r>
      <w:r>
        <w:rPr>
          <w:rFonts w:ascii="Tahoma" w:hAnsi="Tahoma" w:cs="Tahoma"/>
          <w:sz w:val="22"/>
          <w:szCs w:val="22"/>
          <w:lang w:val="id-ID"/>
        </w:rPr>
        <w:t>.</w:t>
      </w:r>
    </w:p>
    <w:p>
      <w:pPr>
        <w:pStyle w:val="10"/>
        <w:keepNext w:val="0"/>
        <w:keepLines w:val="0"/>
        <w:pageBreakBefore w:val="0"/>
        <w:widowControl/>
        <w:numPr>
          <w:ilvl w:val="1"/>
          <w:numId w:val="23"/>
        </w:numPr>
        <w:tabs>
          <w:tab w:val="clear" w:pos="1440"/>
        </w:tabs>
        <w:kinsoku/>
        <w:wordWrap/>
        <w:overflowPunct/>
        <w:topLinePunct w:val="0"/>
        <w:autoSpaceDE/>
        <w:autoSpaceDN/>
        <w:bidi w:val="0"/>
        <w:adjustRightInd/>
        <w:snapToGrid/>
        <w:spacing w:before="120" w:after="120"/>
        <w:ind w:left="839" w:leftChars="0" w:hanging="399" w:firstLineChars="0"/>
        <w:textAlignment w:val="auto"/>
        <w:rPr>
          <w:rFonts w:ascii="Tahoma" w:hAnsi="Tahoma" w:cs="Tahoma"/>
          <w:color w:val="000000"/>
          <w:sz w:val="22"/>
          <w:szCs w:val="22"/>
          <w:lang w:val="id-ID"/>
        </w:rPr>
      </w:pPr>
      <w:r>
        <w:rPr>
          <w:rFonts w:ascii="Tahoma" w:hAnsi="Tahoma" w:cs="Tahoma"/>
          <w:sz w:val="22"/>
          <w:szCs w:val="22"/>
        </w:rPr>
        <w:t>Sistem pengendalian internal masih perlu ditingkatkan.</w:t>
      </w:r>
      <w:r>
        <w:rPr>
          <w:rFonts w:ascii="Tahoma" w:hAnsi="Tahoma" w:cs="Tahoma"/>
          <w:sz w:val="22"/>
          <w:szCs w:val="22"/>
          <w:lang w:val="id-ID"/>
        </w:rPr>
        <w:t xml:space="preserve"> Le</w:t>
      </w:r>
      <w:r>
        <w:rPr>
          <w:rFonts w:ascii="Tahoma" w:hAnsi="Tahoma" w:cs="Tahoma"/>
          <w:sz w:val="22"/>
          <w:szCs w:val="22"/>
        </w:rPr>
        <w:t>mahnya pengawasan atas pelaksanaan pemungutan pajak daerah dan retribusi daerah. Belum efektifnya pengawasan ini juga terjadi pada pengawasan kinerja pengelolaan kekayaan daerah yang dipisahkan yang dilaksanakan oleh Badan Usaha Milik Daerah (BUMD).</w:t>
      </w:r>
    </w:p>
    <w:p>
      <w:pPr>
        <w:pStyle w:val="10"/>
        <w:keepNext w:val="0"/>
        <w:keepLines w:val="0"/>
        <w:pageBreakBefore w:val="0"/>
        <w:widowControl/>
        <w:numPr>
          <w:ilvl w:val="1"/>
          <w:numId w:val="23"/>
        </w:numPr>
        <w:tabs>
          <w:tab w:val="clear" w:pos="1440"/>
        </w:tabs>
        <w:kinsoku/>
        <w:wordWrap/>
        <w:overflowPunct/>
        <w:topLinePunct w:val="0"/>
        <w:autoSpaceDE/>
        <w:autoSpaceDN/>
        <w:bidi w:val="0"/>
        <w:adjustRightInd/>
        <w:snapToGrid/>
        <w:spacing w:before="120" w:after="120"/>
        <w:ind w:left="839" w:leftChars="0" w:hanging="399" w:firstLineChars="0"/>
        <w:textAlignment w:val="auto"/>
        <w:rPr>
          <w:rFonts w:ascii="Tahoma" w:hAnsi="Tahoma" w:cs="Tahoma"/>
          <w:color w:val="000000"/>
          <w:sz w:val="22"/>
          <w:szCs w:val="22"/>
          <w:lang w:val="id-ID"/>
        </w:rPr>
      </w:pPr>
      <w:r>
        <w:rPr>
          <w:rFonts w:ascii="Tahoma" w:hAnsi="Tahoma" w:cs="Tahoma"/>
          <w:sz w:val="22"/>
          <w:szCs w:val="22"/>
          <w:lang w:val="id-ID"/>
        </w:rPr>
        <w:t>K</w:t>
      </w:r>
      <w:r>
        <w:rPr>
          <w:rFonts w:ascii="Tahoma" w:hAnsi="Tahoma" w:cs="Tahoma"/>
          <w:sz w:val="22"/>
          <w:szCs w:val="22"/>
        </w:rPr>
        <w:t>urangnya kesadaran</w:t>
      </w:r>
      <w:r>
        <w:rPr>
          <w:rFonts w:ascii="Tahoma" w:hAnsi="Tahoma" w:cs="Tahoma"/>
          <w:sz w:val="22"/>
          <w:szCs w:val="22"/>
          <w:lang w:val="id-ID"/>
        </w:rPr>
        <w:t xml:space="preserve"> dan kemapuan</w:t>
      </w:r>
      <w:r>
        <w:rPr>
          <w:rFonts w:ascii="Tahoma" w:hAnsi="Tahoma" w:cs="Tahoma"/>
          <w:sz w:val="22"/>
          <w:szCs w:val="22"/>
        </w:rPr>
        <w:t xml:space="preserve"> masyarakat dalam membayar pajak, retribusi dan pungutan lainnya.</w:t>
      </w:r>
    </w:p>
    <w:p>
      <w:pPr>
        <w:pStyle w:val="10"/>
        <w:keepNext w:val="0"/>
        <w:keepLines w:val="0"/>
        <w:pageBreakBefore w:val="0"/>
        <w:widowControl/>
        <w:numPr>
          <w:ilvl w:val="1"/>
          <w:numId w:val="23"/>
        </w:numPr>
        <w:tabs>
          <w:tab w:val="clear" w:pos="1440"/>
        </w:tabs>
        <w:kinsoku/>
        <w:wordWrap/>
        <w:overflowPunct/>
        <w:topLinePunct w:val="0"/>
        <w:autoSpaceDE/>
        <w:autoSpaceDN/>
        <w:bidi w:val="0"/>
        <w:adjustRightInd/>
        <w:snapToGrid/>
        <w:spacing w:before="120" w:after="120"/>
        <w:ind w:left="839" w:leftChars="0" w:hanging="399" w:firstLineChars="0"/>
        <w:textAlignment w:val="auto"/>
        <w:rPr>
          <w:rFonts w:ascii="Tahoma" w:hAnsi="Tahoma" w:cs="Tahoma"/>
          <w:b/>
          <w:color w:val="000000"/>
          <w:sz w:val="22"/>
          <w:szCs w:val="22"/>
        </w:rPr>
      </w:pPr>
      <w:r>
        <w:rPr>
          <w:rFonts w:ascii="Tahoma" w:hAnsi="Tahoma" w:cs="Tahoma"/>
          <w:sz w:val="22"/>
          <w:szCs w:val="22"/>
        </w:rPr>
        <w:t xml:space="preserve">Badan Usaha Milik Daerah (BUMD) belum banyak memberikan keuntungan kepada Pemerintah Daerah. </w:t>
      </w:r>
    </w:p>
    <w:p>
      <w:pPr>
        <w:autoSpaceDE w:val="0"/>
        <w:autoSpaceDN w:val="0"/>
        <w:adjustRightInd w:val="0"/>
        <w:spacing w:afterLines="100" w:line="240" w:lineRule="auto"/>
        <w:rPr>
          <w:rFonts w:ascii="Tahoma" w:hAnsi="Tahoma" w:cs="Tahoma"/>
          <w:b/>
          <w:color w:val="000000"/>
          <w:sz w:val="60"/>
          <w:szCs w:val="60"/>
          <w:lang w:val="id-ID"/>
        </w:rPr>
      </w:pPr>
    </w:p>
    <w:p>
      <w:pPr>
        <w:autoSpaceDE w:val="0"/>
        <w:autoSpaceDN w:val="0"/>
        <w:adjustRightInd w:val="0"/>
        <w:spacing w:afterLines="100" w:line="240" w:lineRule="auto"/>
        <w:rPr>
          <w:rFonts w:ascii="Tahoma" w:hAnsi="Tahoma" w:cs="Tahoma"/>
          <w:b/>
          <w:color w:val="000000"/>
          <w:sz w:val="60"/>
          <w:szCs w:val="60"/>
        </w:rPr>
      </w:pPr>
      <w:r>
        <w:rPr>
          <w:rFonts w:ascii="Tahoma" w:hAnsi="Tahoma" w:cs="Tahoma"/>
          <w:b/>
          <w:color w:val="000000"/>
          <w:sz w:val="60"/>
          <w:szCs w:val="60"/>
        </w:rPr>
        <w:t>BAB II</w:t>
      </w:r>
    </w:p>
    <w:p>
      <w:pPr>
        <w:autoSpaceDE w:val="0"/>
        <w:autoSpaceDN w:val="0"/>
        <w:adjustRightInd w:val="0"/>
        <w:spacing w:afterLines="100" w:line="240" w:lineRule="auto"/>
        <w:rPr>
          <w:rFonts w:ascii="Tahoma" w:hAnsi="Tahoma" w:cs="Tahoma"/>
          <w:b/>
          <w:bCs/>
          <w:color w:val="000000"/>
          <w:sz w:val="60"/>
          <w:szCs w:val="60"/>
          <w:lang w:val="id-ID"/>
        </w:rPr>
      </w:pPr>
      <w:r>
        <w:rPr>
          <w:rFonts w:ascii="Tahoma" w:hAnsi="Tahoma" w:cs="Tahoma"/>
          <w:b/>
          <w:bCs/>
          <w:color w:val="000000"/>
          <w:sz w:val="60"/>
          <w:szCs w:val="60"/>
        </w:rPr>
        <w:t xml:space="preserve">PERENCANAAN </w:t>
      </w:r>
      <w:r>
        <w:rPr>
          <w:rFonts w:ascii="Tahoma" w:hAnsi="Tahoma" w:cs="Tahoma"/>
          <w:b/>
          <w:bCs/>
          <w:color w:val="000000"/>
          <w:sz w:val="60"/>
          <w:szCs w:val="60"/>
          <w:lang w:val="id-ID"/>
        </w:rPr>
        <w:t>KINERJA</w:t>
      </w:r>
    </w:p>
    <w:p>
      <w:pPr>
        <w:numPr>
          <w:ilvl w:val="0"/>
          <w:numId w:val="0"/>
        </w:numPr>
        <w:spacing w:line="360" w:lineRule="auto"/>
        <w:jc w:val="both"/>
        <w:rPr>
          <w:rFonts w:ascii="Tahoma" w:hAnsi="Tahoma" w:cs="Tahoma"/>
          <w:b/>
          <w:bCs/>
          <w:sz w:val="28"/>
          <w:szCs w:val="28"/>
          <w:lang w:val="id-ID"/>
        </w:rPr>
      </w:pPr>
    </w:p>
    <w:p>
      <w:pPr>
        <w:keepNext w:val="0"/>
        <w:keepLines w:val="0"/>
        <w:pageBreakBefore w:val="0"/>
        <w:widowControl/>
        <w:kinsoku/>
        <w:wordWrap/>
        <w:overflowPunct/>
        <w:topLinePunct w:val="0"/>
        <w:autoSpaceDE/>
        <w:autoSpaceDN/>
        <w:bidi w:val="0"/>
        <w:adjustRightInd/>
        <w:snapToGrid/>
        <w:spacing w:before="181" w:beforeLines="50" w:after="0" w:line="360" w:lineRule="auto"/>
        <w:ind w:left="0" w:leftChars="0" w:firstLine="0" w:firstLineChars="0"/>
        <w:jc w:val="both"/>
        <w:textAlignment w:val="auto"/>
        <w:rPr>
          <w:rFonts w:ascii="Tahoma" w:hAnsi="Tahoma" w:cs="Tahoma"/>
        </w:rPr>
      </w:pPr>
      <w:r>
        <w:rPr>
          <w:rFonts w:ascii="Tahoma" w:hAnsi="Tahoma" w:cs="Tahoma"/>
        </w:rPr>
        <w:t xml:space="preserve">Sistem </w:t>
      </w:r>
      <w:r>
        <w:rPr>
          <w:rFonts w:ascii="Tahoma" w:hAnsi="Tahoma" w:cs="Tahoma"/>
          <w:lang w:val="id-ID"/>
        </w:rPr>
        <w:t>A</w:t>
      </w:r>
      <w:r>
        <w:rPr>
          <w:rFonts w:ascii="Tahoma" w:hAnsi="Tahoma" w:cs="Tahoma"/>
        </w:rPr>
        <w:t xml:space="preserve">kuntabilitas </w:t>
      </w:r>
      <w:r>
        <w:rPr>
          <w:rFonts w:ascii="Tahoma" w:hAnsi="Tahoma" w:cs="Tahoma"/>
          <w:lang w:val="id-ID"/>
        </w:rPr>
        <w:t>K</w:t>
      </w:r>
      <w:r>
        <w:rPr>
          <w:rFonts w:ascii="Tahoma" w:hAnsi="Tahoma" w:cs="Tahoma"/>
        </w:rPr>
        <w:t xml:space="preserve">inerja </w:t>
      </w:r>
      <w:r>
        <w:rPr>
          <w:rFonts w:ascii="Tahoma" w:hAnsi="Tahoma" w:cs="Tahoma"/>
          <w:lang w:val="id-ID"/>
        </w:rPr>
        <w:t>I</w:t>
      </w:r>
      <w:r>
        <w:rPr>
          <w:rFonts w:ascii="Tahoma" w:hAnsi="Tahoma" w:cs="Tahoma"/>
        </w:rPr>
        <w:t xml:space="preserve">nstansi </w:t>
      </w:r>
      <w:r>
        <w:rPr>
          <w:rFonts w:ascii="Tahoma" w:hAnsi="Tahoma" w:cs="Tahoma"/>
          <w:lang w:val="id-ID"/>
        </w:rPr>
        <w:t>P</w:t>
      </w:r>
      <w:r>
        <w:rPr>
          <w:rFonts w:ascii="Tahoma" w:hAnsi="Tahoma" w:cs="Tahoma"/>
        </w:rPr>
        <w:t xml:space="preserve">emerintah (SAKIP) dibangun dalam rangka upaya mewujudkan </w:t>
      </w:r>
      <w:r>
        <w:rPr>
          <w:rFonts w:ascii="Tahoma" w:hAnsi="Tahoma" w:cs="Tahoma"/>
          <w:i/>
          <w:iCs/>
        </w:rPr>
        <w:t>good govermance</w:t>
      </w:r>
      <w:r>
        <w:rPr>
          <w:rFonts w:ascii="Tahoma" w:hAnsi="Tahoma" w:cs="Tahoma"/>
        </w:rPr>
        <w:t xml:space="preserve"> dan sekaligus </w:t>
      </w:r>
      <w:r>
        <w:rPr>
          <w:rFonts w:ascii="Tahoma" w:hAnsi="Tahoma" w:cs="Tahoma"/>
          <w:i/>
          <w:iCs/>
        </w:rPr>
        <w:t>result oriented goverment</w:t>
      </w:r>
      <w:r>
        <w:rPr>
          <w:rFonts w:ascii="Tahoma" w:hAnsi="Tahoma" w:cs="Tahoma"/>
        </w:rPr>
        <w:t>. SAKIP merupakan sebuah sistem dengan pendekatan manajemen berbasis kinerja (</w:t>
      </w:r>
      <w:r>
        <w:rPr>
          <w:rFonts w:ascii="Tahoma" w:hAnsi="Tahoma" w:cs="Tahoma"/>
          <w:i/>
          <w:iCs/>
        </w:rPr>
        <w:t>performance-base management</w:t>
      </w:r>
      <w:r>
        <w:rPr>
          <w:rFonts w:ascii="Tahoma" w:hAnsi="Tahoma" w:cs="Tahoma"/>
        </w:rPr>
        <w:t>) untuk penyediaan informasi kinerja guna pengelolaan kinerja.</w:t>
      </w:r>
    </w:p>
    <w:p>
      <w:pPr>
        <w:pStyle w:val="9"/>
        <w:keepNext w:val="0"/>
        <w:keepLines w:val="0"/>
        <w:pageBreakBefore w:val="0"/>
        <w:widowControl/>
        <w:kinsoku/>
        <w:wordWrap/>
        <w:overflowPunct/>
        <w:topLinePunct w:val="0"/>
        <w:autoSpaceDE/>
        <w:autoSpaceDN/>
        <w:bidi w:val="0"/>
        <w:adjustRightInd/>
        <w:snapToGrid/>
        <w:spacing w:before="181" w:beforeLines="50" w:after="0" w:line="360" w:lineRule="auto"/>
        <w:ind w:left="0" w:leftChars="0" w:firstLine="0" w:firstLineChars="0"/>
        <w:jc w:val="both"/>
        <w:textAlignment w:val="auto"/>
        <w:rPr>
          <w:rFonts w:ascii="Tahoma" w:hAnsi="Tahoma" w:cs="Tahoma"/>
        </w:rPr>
      </w:pPr>
      <w:r>
        <w:rPr>
          <w:rFonts w:ascii="Tahoma" w:hAnsi="Tahoma" w:cs="Tahoma"/>
        </w:rPr>
        <w:t xml:space="preserve">Upaya penguatan sistem akuntabilitas kinerja di </w:t>
      </w:r>
      <w:r>
        <w:rPr>
          <w:rFonts w:ascii="Tahoma" w:hAnsi="Tahoma" w:cs="Tahoma"/>
          <w:lang w:val="id-ID"/>
        </w:rPr>
        <w:t>Badan Keuangan Daerah</w:t>
      </w:r>
      <w:r>
        <w:rPr>
          <w:rFonts w:ascii="Tahoma" w:hAnsi="Tahoma" w:cs="Tahoma"/>
        </w:rPr>
        <w:t xml:space="preserve"> Provinsi Sumatera Barat dilakukan secara menyeluruh ter</w:t>
      </w:r>
      <w:r>
        <w:rPr>
          <w:rFonts w:ascii="Tahoma" w:hAnsi="Tahoma" w:cs="Tahoma"/>
          <w:lang w:val="id-ID"/>
        </w:rPr>
        <w:t>u</w:t>
      </w:r>
      <w:r>
        <w:rPr>
          <w:rFonts w:ascii="Tahoma" w:hAnsi="Tahoma" w:cs="Tahoma"/>
        </w:rPr>
        <w:t xml:space="preserve">tama dengan dibentuknya Tim Penyusunan LAKIP </w:t>
      </w:r>
      <w:r>
        <w:rPr>
          <w:rFonts w:ascii="Tahoma" w:hAnsi="Tahoma" w:cs="Tahoma"/>
          <w:lang w:val="id-ID"/>
        </w:rPr>
        <w:t xml:space="preserve">Badan Keuangan Daerah </w:t>
      </w:r>
      <w:r>
        <w:rPr>
          <w:rFonts w:ascii="Tahoma" w:hAnsi="Tahoma" w:cs="Tahoma"/>
        </w:rPr>
        <w:t>Provinsi Sumatera Barat dengan berkoordinasi setiap bidang di Badan Keuangan Daerah</w:t>
      </w:r>
      <w:r>
        <w:rPr>
          <w:rFonts w:ascii="Tahoma" w:hAnsi="Tahoma" w:cs="Tahoma"/>
          <w:lang w:val="id-ID"/>
        </w:rPr>
        <w:t xml:space="preserve"> dan UPTD</w:t>
      </w:r>
      <w:r>
        <w:rPr>
          <w:rFonts w:ascii="Tahoma" w:hAnsi="Tahoma" w:cs="Tahoma"/>
        </w:rPr>
        <w:t xml:space="preserve"> Provinsi Sumatera Barat dalam rangka penguatan pada beberapa komponen antara lain perencanaan kinerja, pengukuran kinerja, pelaporan kinerja, evaluasi kinerja, dan pencapaian sasaran/kinerja organisasi. Dengan kata lain SAKIP tidak hanya meliputi satu komponen saja sehingga penguatannya memerlukan upaya menyeluruh dari unit organisasi yang terkait. </w:t>
      </w:r>
    </w:p>
    <w:p>
      <w:pPr>
        <w:pStyle w:val="9"/>
        <w:spacing w:after="0" w:line="360" w:lineRule="auto"/>
        <w:ind w:left="660" w:leftChars="300"/>
        <w:jc w:val="center"/>
        <w:rPr>
          <w:rFonts w:ascii="Tahoma" w:hAnsi="Tahoma" w:cs="Tahoma"/>
          <w:b/>
          <w:color w:val="000000"/>
          <w:sz w:val="28"/>
          <w:szCs w:val="28"/>
          <w:lang w:val="id-ID"/>
        </w:rPr>
      </w:pPr>
      <w:r>
        <w:rPr>
          <w:rFonts w:ascii="Tahoma" w:hAnsi="Tahoma" w:cs="Tahoma"/>
          <w:b/>
          <w:bCs/>
          <w:lang w:val="id-ID" w:eastAsia="id-ID"/>
        </w:rPr>
        <w:drawing>
          <wp:anchor distT="0" distB="0" distL="0" distR="0" simplePos="0" relativeHeight="251768832" behindDoc="1" locked="0" layoutInCell="1" allowOverlap="1">
            <wp:simplePos x="0" y="0"/>
            <wp:positionH relativeFrom="page">
              <wp:posOffset>1519555</wp:posOffset>
            </wp:positionH>
            <wp:positionV relativeFrom="paragraph">
              <wp:posOffset>347980</wp:posOffset>
            </wp:positionV>
            <wp:extent cx="4902835" cy="2730500"/>
            <wp:effectExtent l="0" t="0" r="12065" b="12700"/>
            <wp:wrapTopAndBottom/>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jpeg"/>
                    <pic:cNvPicPr>
                      <a:picLocks noChangeAspect="1"/>
                    </pic:cNvPicPr>
                  </pic:nvPicPr>
                  <pic:blipFill>
                    <a:blip r:embed="rId26" cstate="print"/>
                    <a:stretch>
                      <a:fillRect/>
                    </a:stretch>
                  </pic:blipFill>
                  <pic:spPr>
                    <a:xfrm>
                      <a:off x="0" y="0"/>
                      <a:ext cx="4902835" cy="2730500"/>
                    </a:xfrm>
                    <a:prstGeom prst="rect">
                      <a:avLst/>
                    </a:prstGeom>
                  </pic:spPr>
                </pic:pic>
              </a:graphicData>
            </a:graphic>
          </wp:anchor>
        </w:drawing>
      </w:r>
      <w:r>
        <w:rPr>
          <w:rFonts w:ascii="Tahoma" w:hAnsi="Tahoma" w:cs="Tahoma"/>
          <w:b/>
          <w:bCs/>
        </w:rPr>
        <w:t xml:space="preserve">Gambar 2.1 . SAKIP </w:t>
      </w:r>
    </w:p>
    <w:p>
      <w:pPr>
        <w:pStyle w:val="9"/>
        <w:spacing w:line="360" w:lineRule="auto"/>
        <w:ind w:left="440" w:leftChars="200"/>
        <w:jc w:val="both"/>
        <w:rPr>
          <w:rFonts w:ascii="Tahoma" w:hAnsi="Tahoma" w:cs="Tahoma"/>
          <w:lang w:val="id-ID"/>
        </w:rPr>
      </w:pPr>
    </w:p>
    <w:p>
      <w:pPr>
        <w:pStyle w:val="9"/>
        <w:spacing w:line="360" w:lineRule="auto"/>
        <w:ind w:left="0" w:leftChars="0" w:firstLine="0" w:firstLineChars="0"/>
        <w:jc w:val="both"/>
        <w:rPr>
          <w:rFonts w:ascii="Tahoma" w:hAnsi="Tahoma" w:cs="Tahoma"/>
          <w:lang w:val="id-ID"/>
        </w:rPr>
      </w:pPr>
      <w:r>
        <w:rPr>
          <w:rFonts w:ascii="Tahoma" w:hAnsi="Tahoma" w:cs="Tahoma"/>
          <w:lang w:val="id-ID"/>
        </w:rPr>
        <w:t>Perjanjian kinerja merupakan dokumen yang berisikan penugasan dari pimpinan  yang lebih tinggi kepada  yang lebih rendah untuk melaksanakan program/kegiatan yang disertai dengan indikator kinerja. Melalui perjanjian kinerja, terwujudlah komitmen penerima amanah dan kesepakatan antara penerima dan pemberi amanah atas kinerja terukur berdas</w:t>
      </w:r>
      <w:r>
        <w:rPr>
          <w:rFonts w:hint="default" w:ascii="Tahoma" w:hAnsi="Tahoma" w:cs="Tahoma"/>
          <w:lang w:val="en-US"/>
        </w:rPr>
        <w:t>a</w:t>
      </w:r>
      <w:r>
        <w:rPr>
          <w:rFonts w:ascii="Tahoma" w:hAnsi="Tahoma" w:cs="Tahoma"/>
          <w:lang w:val="id-ID"/>
        </w:rPr>
        <w:t>rkan tugas dan fungsi dan wewenang serta sumber daya yang tersedia. Kinerja yang disepakati tidak dibatasi pada kinerja yang dihasilkan atas kegiatan tahun yang bersangkutan, tetapi juga termasuk kinerja (</w:t>
      </w:r>
      <w:r>
        <w:rPr>
          <w:rFonts w:ascii="Tahoma" w:hAnsi="Tahoma" w:cs="Tahoma"/>
          <w:i/>
          <w:iCs/>
          <w:lang w:val="id-ID"/>
        </w:rPr>
        <w:t>outcome</w:t>
      </w:r>
      <w:r>
        <w:rPr>
          <w:rFonts w:ascii="Tahoma" w:hAnsi="Tahoma" w:cs="Tahoma"/>
          <w:lang w:val="id-ID"/>
        </w:rPr>
        <w:t>) yang seharusnya terwujud akibat kegiatan tahun-tahun sebelumnya. Dengan demikian target kinerja yang diperjanjikan juga mencakup outcome yang dihasilkan dari kegiatan tahun-tahun sebelumnya, sehingga terwujud kesinambungan kinerja setiap tahunnya.</w:t>
      </w:r>
    </w:p>
    <w:p>
      <w:pPr>
        <w:pStyle w:val="9"/>
        <w:spacing w:line="360" w:lineRule="auto"/>
        <w:ind w:left="0" w:leftChars="0" w:firstLine="0" w:firstLineChars="0"/>
        <w:jc w:val="both"/>
        <w:rPr>
          <w:rFonts w:ascii="Tahoma" w:hAnsi="Tahoma" w:cs="Tahoma"/>
          <w:lang w:val="id-ID"/>
        </w:rPr>
      </w:pPr>
      <w:r>
        <w:rPr>
          <w:rFonts w:ascii="Tahoma" w:hAnsi="Tahoma" w:cs="Tahoma"/>
          <w:lang w:val="id-ID"/>
        </w:rPr>
        <w:t xml:space="preserve">Tujuan </w:t>
      </w:r>
      <w:r>
        <w:rPr>
          <w:rFonts w:hint="default" w:ascii="Tahoma" w:hAnsi="Tahoma" w:cs="Tahoma"/>
          <w:lang w:val="en-US"/>
        </w:rPr>
        <w:t>p</w:t>
      </w:r>
      <w:r>
        <w:rPr>
          <w:rFonts w:ascii="Tahoma" w:hAnsi="Tahoma" w:cs="Tahoma"/>
          <w:lang w:val="id-ID"/>
        </w:rPr>
        <w:t>enyusunan perjanjian kinerja</w:t>
      </w:r>
      <w:r>
        <w:rPr>
          <w:rFonts w:hint="default" w:ascii="Tahoma" w:hAnsi="Tahoma" w:cs="Tahoma"/>
          <w:lang w:val="en-US"/>
        </w:rPr>
        <w:t xml:space="preserve"> :</w:t>
      </w:r>
      <w:r>
        <w:rPr>
          <w:rFonts w:ascii="Tahoma" w:hAnsi="Tahoma" w:cs="Tahoma"/>
          <w:lang w:val="id-ID"/>
        </w:rPr>
        <w:t xml:space="preserve"> </w:t>
      </w:r>
    </w:p>
    <w:p>
      <w:pPr>
        <w:pStyle w:val="9"/>
        <w:keepNext w:val="0"/>
        <w:keepLines w:val="0"/>
        <w:pageBreakBefore w:val="0"/>
        <w:widowControl/>
        <w:numPr>
          <w:ilvl w:val="1"/>
          <w:numId w:val="24"/>
        </w:numPr>
        <w:tabs>
          <w:tab w:val="clear" w:pos="1440"/>
        </w:tabs>
        <w:kinsoku/>
        <w:wordWrap/>
        <w:overflowPunct/>
        <w:topLinePunct w:val="0"/>
        <w:autoSpaceDE/>
        <w:autoSpaceDN/>
        <w:bidi w:val="0"/>
        <w:adjustRightInd/>
        <w:snapToGrid/>
        <w:spacing w:line="360" w:lineRule="auto"/>
        <w:ind w:left="464" w:leftChars="10" w:hanging="442" w:firstLineChars="0"/>
        <w:jc w:val="both"/>
        <w:textAlignment w:val="auto"/>
        <w:rPr>
          <w:rFonts w:ascii="Tahoma" w:hAnsi="Tahoma" w:cs="Tahoma"/>
          <w:lang w:val="id-ID"/>
        </w:rPr>
      </w:pPr>
      <w:r>
        <w:rPr>
          <w:rFonts w:ascii="Tahoma" w:hAnsi="Tahoma" w:cs="Tahoma"/>
          <w:lang w:val="id-ID"/>
        </w:rPr>
        <w:t>Sebagai wujud nyata komitmen antara penerima dan pemberi amanah untuk meningkatkan integritas, akuntabilitas,transparansi dan kinerja aparatur.</w:t>
      </w:r>
    </w:p>
    <w:p>
      <w:pPr>
        <w:pStyle w:val="9"/>
        <w:keepNext w:val="0"/>
        <w:keepLines w:val="0"/>
        <w:pageBreakBefore w:val="0"/>
        <w:widowControl/>
        <w:numPr>
          <w:ilvl w:val="1"/>
          <w:numId w:val="24"/>
        </w:numPr>
        <w:tabs>
          <w:tab w:val="clear" w:pos="1440"/>
        </w:tabs>
        <w:kinsoku/>
        <w:wordWrap/>
        <w:overflowPunct/>
        <w:topLinePunct w:val="0"/>
        <w:autoSpaceDE/>
        <w:autoSpaceDN/>
        <w:bidi w:val="0"/>
        <w:adjustRightInd/>
        <w:snapToGrid/>
        <w:spacing w:line="360" w:lineRule="auto"/>
        <w:ind w:left="464" w:leftChars="10" w:hanging="442" w:firstLineChars="0"/>
        <w:jc w:val="both"/>
        <w:textAlignment w:val="auto"/>
        <w:rPr>
          <w:rFonts w:ascii="Tahoma" w:hAnsi="Tahoma" w:cs="Tahoma"/>
          <w:lang w:val="id-ID"/>
        </w:rPr>
      </w:pPr>
      <w:r>
        <w:rPr>
          <w:rFonts w:ascii="Tahoma" w:hAnsi="Tahoma" w:cs="Tahoma"/>
          <w:lang w:val="id-ID"/>
        </w:rPr>
        <w:t>Menciptakan tolak ukur kinerja sebagai dasar evaluasi kinerja aparatur</w:t>
      </w:r>
    </w:p>
    <w:p>
      <w:pPr>
        <w:pStyle w:val="9"/>
        <w:keepNext w:val="0"/>
        <w:keepLines w:val="0"/>
        <w:pageBreakBefore w:val="0"/>
        <w:widowControl/>
        <w:numPr>
          <w:ilvl w:val="1"/>
          <w:numId w:val="24"/>
        </w:numPr>
        <w:tabs>
          <w:tab w:val="clear" w:pos="1440"/>
        </w:tabs>
        <w:kinsoku/>
        <w:wordWrap/>
        <w:overflowPunct/>
        <w:topLinePunct w:val="0"/>
        <w:autoSpaceDE/>
        <w:autoSpaceDN/>
        <w:bidi w:val="0"/>
        <w:adjustRightInd/>
        <w:snapToGrid/>
        <w:spacing w:line="360" w:lineRule="auto"/>
        <w:ind w:left="464" w:leftChars="10" w:hanging="442" w:firstLineChars="0"/>
        <w:jc w:val="both"/>
        <w:textAlignment w:val="auto"/>
        <w:rPr>
          <w:rFonts w:ascii="Tahoma" w:hAnsi="Tahoma" w:cs="Tahoma"/>
          <w:lang w:val="id-ID"/>
        </w:rPr>
      </w:pPr>
      <w:r>
        <w:rPr>
          <w:rFonts w:ascii="Tahoma" w:hAnsi="Tahoma" w:cs="Tahoma"/>
          <w:lang w:val="id-ID"/>
        </w:rPr>
        <w:t>Sebagai dasar penilaian keberhasilan/kegagalan pencapaian tujuan dan sasaran organisasi dan sebagai dasar pemberian pengharagaan dan sangsi</w:t>
      </w:r>
    </w:p>
    <w:p>
      <w:pPr>
        <w:pStyle w:val="9"/>
        <w:keepNext w:val="0"/>
        <w:keepLines w:val="0"/>
        <w:pageBreakBefore w:val="0"/>
        <w:widowControl/>
        <w:numPr>
          <w:ilvl w:val="1"/>
          <w:numId w:val="24"/>
        </w:numPr>
        <w:tabs>
          <w:tab w:val="clear" w:pos="1440"/>
        </w:tabs>
        <w:kinsoku/>
        <w:wordWrap/>
        <w:overflowPunct/>
        <w:topLinePunct w:val="0"/>
        <w:autoSpaceDE/>
        <w:autoSpaceDN/>
        <w:bidi w:val="0"/>
        <w:adjustRightInd/>
        <w:snapToGrid/>
        <w:spacing w:line="360" w:lineRule="auto"/>
        <w:ind w:left="464" w:leftChars="10" w:hanging="442" w:firstLineChars="0"/>
        <w:jc w:val="both"/>
        <w:textAlignment w:val="auto"/>
        <w:rPr>
          <w:rFonts w:ascii="Tahoma" w:hAnsi="Tahoma" w:cs="Tahoma"/>
          <w:lang w:val="id-ID"/>
        </w:rPr>
      </w:pPr>
      <w:r>
        <w:rPr>
          <w:rFonts w:ascii="Tahoma" w:hAnsi="Tahoma" w:cs="Tahoma"/>
          <w:lang w:val="id-ID"/>
        </w:rPr>
        <w:t>Sebagai dasar pemberi amanah untuk melakukan monitoring, evaluasi dan suvervisi atas perkembangan/kemajuan kinerja penerima amanah</w:t>
      </w:r>
    </w:p>
    <w:p>
      <w:pPr>
        <w:pStyle w:val="9"/>
        <w:keepNext w:val="0"/>
        <w:keepLines w:val="0"/>
        <w:pageBreakBefore w:val="0"/>
        <w:widowControl/>
        <w:numPr>
          <w:ilvl w:val="1"/>
          <w:numId w:val="24"/>
        </w:numPr>
        <w:tabs>
          <w:tab w:val="clear" w:pos="1440"/>
        </w:tabs>
        <w:kinsoku/>
        <w:wordWrap/>
        <w:overflowPunct/>
        <w:topLinePunct w:val="0"/>
        <w:autoSpaceDE/>
        <w:autoSpaceDN/>
        <w:bidi w:val="0"/>
        <w:adjustRightInd/>
        <w:snapToGrid/>
        <w:spacing w:line="360" w:lineRule="auto"/>
        <w:ind w:left="464" w:leftChars="10" w:hanging="442" w:firstLineChars="0"/>
        <w:jc w:val="both"/>
        <w:textAlignment w:val="auto"/>
        <w:rPr>
          <w:rFonts w:ascii="Tahoma" w:hAnsi="Tahoma" w:cs="Tahoma"/>
          <w:lang w:val="id-ID"/>
        </w:rPr>
      </w:pPr>
      <w:r>
        <w:rPr>
          <w:rFonts w:ascii="Tahoma" w:hAnsi="Tahoma" w:cs="Tahoma"/>
          <w:lang w:val="id-ID"/>
        </w:rPr>
        <w:t>Sebagai dasar dalam penetapan sasaran kinerja pegawai</w:t>
      </w:r>
    </w:p>
    <w:p>
      <w:pPr>
        <w:pStyle w:val="9"/>
        <w:spacing w:line="360" w:lineRule="auto"/>
        <w:ind w:left="0" w:leftChars="0" w:firstLine="0" w:firstLineChars="0"/>
        <w:jc w:val="both"/>
        <w:rPr>
          <w:rFonts w:ascii="Tahoma" w:hAnsi="Tahoma" w:cs="Tahoma"/>
        </w:rPr>
      </w:pPr>
      <w:r>
        <w:rPr>
          <w:rFonts w:ascii="Tahoma" w:hAnsi="Tahoma" w:cs="Tahoma"/>
        </w:rPr>
        <w:t xml:space="preserve">Sebagai implementasi Sistem Akuntabilitas Instansi Pemerintah khususnya perencanaan kinerja, </w:t>
      </w:r>
      <w:r>
        <w:rPr>
          <w:rFonts w:ascii="Tahoma" w:hAnsi="Tahoma" w:cs="Tahoma"/>
          <w:lang w:val="id-ID"/>
        </w:rPr>
        <w:t>Badan Keuangan Daerah</w:t>
      </w:r>
      <w:r>
        <w:rPr>
          <w:rFonts w:ascii="Tahoma" w:hAnsi="Tahoma" w:cs="Tahoma"/>
        </w:rPr>
        <w:t xml:space="preserve"> Provinsi Sumatera Barat telah membuat Perjanjian Kinerja yang ditandatangani oleh Gubernur dan Kepala </w:t>
      </w:r>
      <w:r>
        <w:rPr>
          <w:rFonts w:ascii="Tahoma" w:hAnsi="Tahoma" w:cs="Tahoma"/>
          <w:lang w:val="id-ID"/>
        </w:rPr>
        <w:t>Badan Keuangan Daerah</w:t>
      </w:r>
      <w:r>
        <w:rPr>
          <w:rFonts w:ascii="Tahoma" w:hAnsi="Tahoma" w:cs="Tahoma"/>
        </w:rPr>
        <w:t xml:space="preserve"> Provinsi Sumatera Barat Tahun 2020. Perjanjian Kinerja </w:t>
      </w:r>
      <w:r>
        <w:rPr>
          <w:rFonts w:ascii="Tahoma" w:hAnsi="Tahoma" w:cs="Tahoma"/>
          <w:lang w:val="id-ID"/>
        </w:rPr>
        <w:t>Badan Keuangan Daerah</w:t>
      </w:r>
      <w:r>
        <w:rPr>
          <w:rFonts w:ascii="Tahoma" w:hAnsi="Tahoma" w:cs="Tahoma"/>
        </w:rPr>
        <w:t xml:space="preserve"> Provinsi Sumatera Barat Tahun 2020 telah ditetapkan dan dimuat dalam Buku </w:t>
      </w:r>
      <w:r>
        <w:rPr>
          <w:rFonts w:hint="default" w:ascii="Tahoma" w:hAnsi="Tahoma" w:cs="Tahoma"/>
          <w:lang w:val="en-US"/>
        </w:rPr>
        <w:t xml:space="preserve">Perjanjian </w:t>
      </w:r>
      <w:r>
        <w:rPr>
          <w:rFonts w:ascii="Tahoma" w:hAnsi="Tahoma" w:cs="Tahoma"/>
        </w:rPr>
        <w:t>Kinerja Provinsi Sumatera Barat (terlampir).</w:t>
      </w:r>
    </w:p>
    <w:p>
      <w:pPr>
        <w:autoSpaceDE w:val="0"/>
        <w:autoSpaceDN w:val="0"/>
        <w:adjustRightInd w:val="0"/>
        <w:spacing w:before="120" w:after="0" w:line="360" w:lineRule="auto"/>
        <w:ind w:left="0" w:leftChars="0" w:firstLine="0" w:firstLineChars="0"/>
        <w:jc w:val="both"/>
        <w:rPr>
          <w:rFonts w:ascii="Tahoma" w:hAnsi="Tahoma" w:cs="Tahoma"/>
        </w:rPr>
        <w:sectPr>
          <w:headerReference r:id="rId11" w:type="first"/>
          <w:footerReference r:id="rId13" w:type="first"/>
          <w:headerReference r:id="rId10" w:type="default"/>
          <w:footerReference r:id="rId12" w:type="default"/>
          <w:pgSz w:w="11907" w:h="16839"/>
          <w:pgMar w:top="1701" w:right="1134" w:bottom="1701" w:left="1701" w:header="720" w:footer="720" w:gutter="0"/>
          <w:pgBorders>
            <w:top w:val="none" w:sz="0" w:space="0"/>
            <w:left w:val="none" w:sz="0" w:space="0"/>
            <w:bottom w:val="none" w:sz="0" w:space="0"/>
            <w:right w:val="none" w:sz="0" w:space="0"/>
          </w:pgBorders>
          <w:pgNumType w:start="1"/>
          <w:cols w:space="720" w:num="1"/>
          <w:titlePg/>
          <w:docGrid w:linePitch="360" w:charSpace="0"/>
        </w:sectPr>
      </w:pPr>
      <w:r>
        <w:rPr>
          <w:rFonts w:ascii="Tahoma" w:hAnsi="Tahoma" w:cs="Tahoma"/>
        </w:rPr>
        <w:t xml:space="preserve">Perjanjian Kinerja disesuaikan dengan susunan agenda, prioritas, sasaran pembangunan pada Renstra </w:t>
      </w:r>
      <w:r>
        <w:rPr>
          <w:rFonts w:ascii="Tahoma" w:hAnsi="Tahoma" w:cs="Tahoma"/>
          <w:lang w:val="id-ID"/>
        </w:rPr>
        <w:t xml:space="preserve">Badan Keuangan Daerah </w:t>
      </w:r>
      <w:r>
        <w:rPr>
          <w:rFonts w:ascii="Tahoma" w:hAnsi="Tahoma" w:cs="Tahoma"/>
        </w:rPr>
        <w:t xml:space="preserve"> Provinsi Sumatera Barat Tahun 20</w:t>
      </w:r>
      <w:r>
        <w:rPr>
          <w:rFonts w:ascii="Tahoma" w:hAnsi="Tahoma" w:cs="Tahoma"/>
          <w:lang w:val="id-ID"/>
        </w:rPr>
        <w:t>16</w:t>
      </w:r>
      <w:r>
        <w:rPr>
          <w:rFonts w:ascii="Tahoma" w:hAnsi="Tahoma" w:cs="Tahoma"/>
        </w:rPr>
        <w:t>-20</w:t>
      </w:r>
      <w:r>
        <w:rPr>
          <w:rFonts w:ascii="Tahoma" w:hAnsi="Tahoma" w:cs="Tahoma"/>
          <w:lang w:val="id-ID"/>
        </w:rPr>
        <w:t>21</w:t>
      </w:r>
      <w:r>
        <w:rPr>
          <w:rFonts w:ascii="Tahoma" w:hAnsi="Tahoma" w:cs="Tahoma"/>
        </w:rPr>
        <w:t>. Secara ringkas, gambaran keterkaitan antara sasaran strategis, indikator kinerja, target, dan program dapat dilihat pada Tabel 2.</w:t>
      </w:r>
      <w:r>
        <w:rPr>
          <w:rFonts w:ascii="Tahoma" w:hAnsi="Tahoma" w:cs="Tahoma"/>
          <w:lang w:val="id-ID"/>
        </w:rPr>
        <w:t>1</w:t>
      </w:r>
    </w:p>
    <w:p>
      <w:pPr>
        <w:spacing w:after="120" w:line="240" w:lineRule="auto"/>
        <w:jc w:val="center"/>
        <w:rPr>
          <w:rFonts w:ascii="Tahoma" w:hAnsi="Tahoma" w:cs="Tahoma"/>
          <w:b/>
          <w:color w:val="000000"/>
        </w:rPr>
      </w:pPr>
      <w:r>
        <w:rPr>
          <w:rFonts w:ascii="Tahoma" w:hAnsi="Tahoma" w:cs="Tahoma"/>
          <w:b/>
          <w:color w:val="000000"/>
          <w:lang w:val="id-ID"/>
        </w:rPr>
        <w:t>Tabel 2.</w:t>
      </w:r>
      <w:r>
        <w:rPr>
          <w:rFonts w:hint="default" w:ascii="Tahoma" w:hAnsi="Tahoma" w:cs="Tahoma"/>
          <w:b/>
          <w:color w:val="000000"/>
          <w:lang w:val="en-US"/>
        </w:rPr>
        <w:t>1</w:t>
      </w:r>
    </w:p>
    <w:p>
      <w:pPr>
        <w:spacing w:after="120" w:line="240" w:lineRule="auto"/>
        <w:jc w:val="center"/>
        <w:rPr>
          <w:rFonts w:ascii="Tahoma" w:hAnsi="Tahoma" w:cs="Tahoma"/>
          <w:b/>
          <w:color w:val="000000"/>
        </w:rPr>
      </w:pPr>
      <w:r>
        <w:rPr>
          <w:rFonts w:ascii="Tahoma" w:hAnsi="Tahoma" w:cs="Tahoma"/>
          <w:b/>
          <w:color w:val="000000"/>
        </w:rPr>
        <w:t xml:space="preserve">Perjanjian Kinerja </w:t>
      </w:r>
    </w:p>
    <w:p>
      <w:pPr>
        <w:spacing w:after="0" w:line="240" w:lineRule="auto"/>
        <w:rPr>
          <w:rFonts w:ascii="Tahoma" w:hAnsi="Tahoma" w:cs="Tahoma"/>
          <w:color w:val="000000"/>
          <w:lang w:val="id-ID"/>
        </w:rPr>
      </w:pPr>
      <w:r>
        <w:rPr>
          <w:rFonts w:ascii="Tahoma" w:hAnsi="Tahoma" w:cs="Tahoma"/>
          <w:color w:val="000000"/>
          <w:lang w:val="id-ID"/>
        </w:rPr>
        <w:t>SATUAN KERJA PERANGKAT DAERAH</w:t>
      </w:r>
      <w:r>
        <w:rPr>
          <w:rFonts w:ascii="Tahoma" w:hAnsi="Tahoma" w:cs="Tahoma"/>
          <w:color w:val="000000"/>
          <w:lang w:val="id-ID"/>
        </w:rPr>
        <w:tab/>
      </w:r>
      <w:r>
        <w:rPr>
          <w:rFonts w:ascii="Tahoma" w:hAnsi="Tahoma" w:cs="Tahoma"/>
          <w:color w:val="000000"/>
          <w:lang w:val="id-ID"/>
        </w:rPr>
        <w:t xml:space="preserve">: </w:t>
      </w:r>
      <w:r>
        <w:rPr>
          <w:rFonts w:ascii="Tahoma" w:hAnsi="Tahoma" w:cs="Tahoma"/>
          <w:color w:val="000000"/>
        </w:rPr>
        <w:t>BADAN KEUANGAN DAERAH</w:t>
      </w:r>
      <w:r>
        <w:rPr>
          <w:rFonts w:ascii="Tahoma" w:hAnsi="Tahoma" w:cs="Tahoma"/>
          <w:color w:val="000000"/>
          <w:lang w:val="id-ID"/>
        </w:rPr>
        <w:t xml:space="preserve"> PROVINSI SUMATERA BARAT</w:t>
      </w:r>
    </w:p>
    <w:p>
      <w:pPr>
        <w:spacing w:after="120" w:line="240" w:lineRule="auto"/>
        <w:rPr>
          <w:rFonts w:ascii="Tahoma" w:hAnsi="Tahoma" w:cs="Tahoma"/>
          <w:color w:val="000000"/>
        </w:rPr>
      </w:pPr>
      <w:r>
        <w:rPr>
          <w:rFonts w:ascii="Tahoma" w:hAnsi="Tahoma" w:cs="Tahoma"/>
          <w:color w:val="000000"/>
          <w:lang w:val="id-ID"/>
        </w:rPr>
        <w:t>TAHUN ANGGARAN</w:t>
      </w:r>
      <w:r>
        <w:rPr>
          <w:rFonts w:ascii="Tahoma" w:hAnsi="Tahoma" w:cs="Tahoma"/>
          <w:color w:val="000000"/>
          <w:lang w:val="id-ID"/>
        </w:rPr>
        <w:tab/>
      </w:r>
      <w:r>
        <w:rPr>
          <w:rFonts w:ascii="Tahoma" w:hAnsi="Tahoma" w:cs="Tahoma"/>
          <w:color w:val="000000"/>
          <w:lang w:val="id-ID"/>
        </w:rPr>
        <w:tab/>
      </w:r>
      <w:r>
        <w:rPr>
          <w:rFonts w:ascii="Tahoma" w:hAnsi="Tahoma" w:cs="Tahoma"/>
          <w:color w:val="000000"/>
          <w:lang w:val="id-ID"/>
        </w:rPr>
        <w:tab/>
      </w:r>
      <w:r>
        <w:rPr>
          <w:rFonts w:ascii="Tahoma" w:hAnsi="Tahoma" w:cs="Tahoma"/>
          <w:color w:val="000000"/>
        </w:rPr>
        <w:tab/>
      </w:r>
      <w:r>
        <w:rPr>
          <w:rFonts w:ascii="Tahoma" w:hAnsi="Tahoma" w:cs="Tahoma"/>
          <w:color w:val="000000"/>
          <w:lang w:val="id-ID"/>
        </w:rPr>
        <w:t>: 20</w:t>
      </w:r>
      <w:r>
        <w:rPr>
          <w:rFonts w:ascii="Tahoma" w:hAnsi="Tahoma" w:cs="Tahoma"/>
          <w:color w:val="000000"/>
        </w:rPr>
        <w:t>20</w:t>
      </w:r>
    </w:p>
    <w:tbl>
      <w:tblPr>
        <w:tblStyle w:val="7"/>
        <w:tblW w:w="132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22"/>
        <w:gridCol w:w="2100"/>
        <w:gridCol w:w="2590"/>
        <w:gridCol w:w="1352"/>
        <w:gridCol w:w="568"/>
        <w:gridCol w:w="4343"/>
        <w:gridCol w:w="9"/>
        <w:gridCol w:w="1767"/>
        <w:gridCol w:w="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522" w:type="dxa"/>
            <w:shd w:val="clear" w:color="auto" w:fill="D9D9D9"/>
            <w:vAlign w:val="center"/>
          </w:tcPr>
          <w:p>
            <w:pPr>
              <w:spacing w:before="60" w:after="60" w:line="240" w:lineRule="auto"/>
              <w:jc w:val="center"/>
              <w:rPr>
                <w:rFonts w:ascii="Tahoma" w:hAnsi="Tahoma" w:cs="Tahoma"/>
                <w:b/>
                <w:lang w:val="id-ID"/>
              </w:rPr>
            </w:pPr>
            <w:r>
              <w:rPr>
                <w:rFonts w:ascii="Tahoma" w:hAnsi="Tahoma" w:cs="Tahoma"/>
                <w:b/>
                <w:lang w:val="id-ID"/>
              </w:rPr>
              <w:t>No</w:t>
            </w:r>
          </w:p>
        </w:tc>
        <w:tc>
          <w:tcPr>
            <w:tcW w:w="2100" w:type="dxa"/>
            <w:shd w:val="clear" w:color="auto" w:fill="D9D9D9"/>
            <w:vAlign w:val="center"/>
          </w:tcPr>
          <w:p>
            <w:pPr>
              <w:spacing w:before="60" w:after="60" w:line="240" w:lineRule="auto"/>
              <w:jc w:val="center"/>
              <w:rPr>
                <w:rFonts w:ascii="Tahoma" w:hAnsi="Tahoma" w:cs="Tahoma"/>
                <w:b/>
                <w:lang w:val="id-ID"/>
              </w:rPr>
            </w:pPr>
            <w:r>
              <w:rPr>
                <w:rFonts w:ascii="Tahoma" w:hAnsi="Tahoma" w:cs="Tahoma"/>
                <w:b/>
                <w:lang w:val="id-ID"/>
              </w:rPr>
              <w:t>SASARAN STRATEGIS</w:t>
            </w:r>
          </w:p>
        </w:tc>
        <w:tc>
          <w:tcPr>
            <w:tcW w:w="2590" w:type="dxa"/>
            <w:tcBorders>
              <w:bottom w:val="single" w:color="000000" w:sz="4" w:space="0"/>
            </w:tcBorders>
            <w:shd w:val="clear" w:color="auto" w:fill="D9D9D9"/>
            <w:vAlign w:val="center"/>
          </w:tcPr>
          <w:p>
            <w:pPr>
              <w:spacing w:before="60" w:after="60" w:line="240" w:lineRule="auto"/>
              <w:jc w:val="center"/>
              <w:rPr>
                <w:rFonts w:ascii="Tahoma" w:hAnsi="Tahoma" w:cs="Tahoma"/>
                <w:b/>
                <w:lang w:val="id-ID"/>
              </w:rPr>
            </w:pPr>
            <w:r>
              <w:rPr>
                <w:rFonts w:ascii="Tahoma" w:hAnsi="Tahoma" w:cs="Tahoma"/>
                <w:b/>
                <w:lang w:val="id-ID"/>
              </w:rPr>
              <w:t>INDIKATOR KINERJA</w:t>
            </w:r>
          </w:p>
        </w:tc>
        <w:tc>
          <w:tcPr>
            <w:tcW w:w="1352" w:type="dxa"/>
            <w:shd w:val="clear" w:color="auto" w:fill="D9D9D9"/>
            <w:vAlign w:val="center"/>
          </w:tcPr>
          <w:p>
            <w:pPr>
              <w:spacing w:before="60" w:after="60" w:line="240" w:lineRule="auto"/>
              <w:jc w:val="center"/>
              <w:rPr>
                <w:rFonts w:ascii="Tahoma" w:hAnsi="Tahoma" w:cs="Tahoma"/>
                <w:b/>
                <w:lang w:val="id-ID"/>
              </w:rPr>
            </w:pPr>
            <w:r>
              <w:rPr>
                <w:rFonts w:ascii="Tahoma" w:hAnsi="Tahoma" w:cs="Tahoma"/>
                <w:b/>
                <w:lang w:val="id-ID"/>
              </w:rPr>
              <w:t>TARGET</w:t>
            </w:r>
          </w:p>
        </w:tc>
        <w:tc>
          <w:tcPr>
            <w:tcW w:w="4920" w:type="dxa"/>
            <w:gridSpan w:val="3"/>
            <w:tcBorders>
              <w:bottom w:val="single" w:color="000000" w:sz="4" w:space="0"/>
            </w:tcBorders>
            <w:shd w:val="clear" w:color="auto" w:fill="D9D9D9"/>
            <w:vAlign w:val="center"/>
          </w:tcPr>
          <w:p>
            <w:pPr>
              <w:spacing w:before="60" w:after="60" w:line="240" w:lineRule="auto"/>
              <w:jc w:val="center"/>
              <w:rPr>
                <w:rFonts w:ascii="Tahoma" w:hAnsi="Tahoma" w:cs="Tahoma"/>
                <w:b/>
                <w:lang w:val="id-ID"/>
              </w:rPr>
            </w:pPr>
            <w:r>
              <w:rPr>
                <w:rFonts w:ascii="Tahoma" w:hAnsi="Tahoma" w:cs="Tahoma"/>
                <w:b/>
                <w:lang w:val="id-ID"/>
              </w:rPr>
              <w:t>PROGRAM KEGIATAN</w:t>
            </w:r>
          </w:p>
        </w:tc>
        <w:tc>
          <w:tcPr>
            <w:tcW w:w="1776" w:type="dxa"/>
            <w:gridSpan w:val="2"/>
            <w:tcBorders>
              <w:bottom w:val="single" w:color="000000" w:sz="4" w:space="0"/>
            </w:tcBorders>
            <w:shd w:val="clear" w:color="auto" w:fill="D9D9D9"/>
            <w:vAlign w:val="center"/>
          </w:tcPr>
          <w:p>
            <w:pPr>
              <w:spacing w:before="60" w:after="60" w:line="240" w:lineRule="auto"/>
              <w:jc w:val="center"/>
              <w:rPr>
                <w:rFonts w:ascii="Tahoma" w:hAnsi="Tahoma" w:cs="Tahoma"/>
                <w:b/>
                <w:lang w:val="id-ID"/>
              </w:rPr>
            </w:pPr>
            <w:r>
              <w:rPr>
                <w:rFonts w:ascii="Tahoma" w:hAnsi="Tahoma" w:cs="Tahoma"/>
                <w:b/>
                <w:lang w:val="id-ID"/>
              </w:rPr>
              <w:t>ANGGARAN</w:t>
            </w:r>
          </w:p>
          <w:p>
            <w:pPr>
              <w:spacing w:before="60" w:after="60" w:line="240" w:lineRule="auto"/>
              <w:jc w:val="center"/>
              <w:rPr>
                <w:rFonts w:ascii="Tahoma" w:hAnsi="Tahoma" w:cs="Tahoma"/>
                <w:b/>
                <w:lang w:val="id-ID"/>
              </w:rPr>
            </w:pPr>
            <w:r>
              <w:rPr>
                <w:rFonts w:ascii="Tahoma" w:hAnsi="Tahoma" w:cs="Tahoma"/>
                <w:b/>
                <w:lang w:val="id-ID"/>
              </w:rPr>
              <w:t>(Rp)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522" w:type="dxa"/>
            <w:vMerge w:val="restart"/>
          </w:tcPr>
          <w:p>
            <w:pPr>
              <w:spacing w:before="60" w:after="60" w:line="240" w:lineRule="auto"/>
              <w:jc w:val="center"/>
              <w:rPr>
                <w:rFonts w:ascii="Tahoma" w:hAnsi="Tahoma" w:cs="Tahoma"/>
                <w:color w:val="000000"/>
                <w:sz w:val="20"/>
                <w:szCs w:val="20"/>
                <w:lang w:val="id-ID"/>
              </w:rPr>
            </w:pPr>
            <w:r>
              <w:rPr>
                <w:rFonts w:ascii="Tahoma" w:hAnsi="Tahoma" w:cs="Tahoma"/>
                <w:color w:val="000000"/>
                <w:sz w:val="20"/>
                <w:szCs w:val="20"/>
                <w:lang w:val="id-ID"/>
              </w:rPr>
              <w:t>1</w:t>
            </w:r>
          </w:p>
        </w:tc>
        <w:tc>
          <w:tcPr>
            <w:tcW w:w="2100" w:type="dxa"/>
            <w:vMerge w:val="restart"/>
          </w:tcPr>
          <w:p>
            <w:pPr>
              <w:spacing w:before="60" w:after="60" w:line="240" w:lineRule="auto"/>
              <w:rPr>
                <w:rFonts w:ascii="Tahoma" w:hAnsi="Tahoma" w:cs="Tahoma"/>
                <w:color w:val="000000"/>
                <w:sz w:val="20"/>
                <w:szCs w:val="20"/>
                <w:lang w:val="id-ID"/>
              </w:rPr>
            </w:pPr>
            <w:r>
              <w:rPr>
                <w:rFonts w:ascii="Tahoma" w:hAnsi="Tahoma" w:cs="Tahoma"/>
                <w:color w:val="000000"/>
                <w:sz w:val="20"/>
                <w:szCs w:val="20"/>
                <w:lang w:val="id-ID"/>
              </w:rPr>
              <w:t>Meningkatnya Kualitas Pengelolaan Keuangan Daerah</w:t>
            </w:r>
          </w:p>
        </w:tc>
        <w:tc>
          <w:tcPr>
            <w:tcW w:w="2590" w:type="dxa"/>
            <w:vMerge w:val="restart"/>
          </w:tcPr>
          <w:p>
            <w:pPr>
              <w:spacing w:before="60" w:after="60" w:line="240" w:lineRule="auto"/>
              <w:ind w:left="-1"/>
              <w:rPr>
                <w:rFonts w:ascii="Tahoma" w:hAnsi="Tahoma" w:cs="Tahoma"/>
                <w:color w:val="000000"/>
                <w:sz w:val="20"/>
                <w:szCs w:val="20"/>
                <w:lang w:val="id-ID"/>
              </w:rPr>
            </w:pPr>
            <w:r>
              <w:rPr>
                <w:rFonts w:ascii="Tahoma" w:hAnsi="Tahoma" w:cs="Tahoma"/>
                <w:color w:val="000000"/>
                <w:sz w:val="20"/>
                <w:szCs w:val="20"/>
                <w:lang w:val="id-ID"/>
              </w:rPr>
              <w:t>Opini BPK</w:t>
            </w:r>
          </w:p>
        </w:tc>
        <w:tc>
          <w:tcPr>
            <w:tcW w:w="1352" w:type="dxa"/>
            <w:vMerge w:val="restart"/>
          </w:tcPr>
          <w:p>
            <w:pPr>
              <w:spacing w:before="60" w:after="60" w:line="240" w:lineRule="auto"/>
              <w:jc w:val="center"/>
              <w:rPr>
                <w:rFonts w:ascii="Tahoma" w:hAnsi="Tahoma" w:cs="Tahoma"/>
                <w:color w:val="000000"/>
                <w:sz w:val="20"/>
                <w:szCs w:val="20"/>
                <w:lang w:val="id-ID"/>
              </w:rPr>
            </w:pPr>
            <w:r>
              <w:rPr>
                <w:rFonts w:ascii="Tahoma" w:hAnsi="Tahoma" w:cs="Tahoma"/>
                <w:color w:val="000000"/>
                <w:sz w:val="20"/>
                <w:szCs w:val="20"/>
                <w:lang w:val="id-ID"/>
              </w:rPr>
              <w:t>WTP</w:t>
            </w:r>
          </w:p>
        </w:tc>
        <w:tc>
          <w:tcPr>
            <w:tcW w:w="4920" w:type="dxa"/>
            <w:gridSpan w:val="3"/>
            <w:tcBorders>
              <w:bottom w:val="single" w:color="000000" w:sz="4" w:space="0"/>
            </w:tcBorders>
          </w:tcPr>
          <w:p>
            <w:pPr>
              <w:spacing w:before="60" w:after="60" w:line="240" w:lineRule="auto"/>
              <w:rPr>
                <w:rFonts w:ascii="Tahoma" w:hAnsi="Tahoma" w:cs="Tahoma"/>
                <w:sz w:val="20"/>
                <w:szCs w:val="20"/>
                <w:lang w:val="id-ID"/>
              </w:rPr>
            </w:pPr>
            <w:r>
              <w:rPr>
                <w:rFonts w:ascii="Tahoma" w:hAnsi="Tahoma" w:cs="Tahoma"/>
                <w:b/>
                <w:color w:val="000000"/>
                <w:sz w:val="20"/>
                <w:szCs w:val="20"/>
              </w:rPr>
              <w:t>PROGRAM P</w:t>
            </w:r>
            <w:r>
              <w:rPr>
                <w:rFonts w:ascii="Tahoma" w:hAnsi="Tahoma" w:cs="Tahoma"/>
                <w:b/>
                <w:color w:val="000000"/>
                <w:sz w:val="20"/>
                <w:szCs w:val="20"/>
                <w:lang w:val="id-ID"/>
              </w:rPr>
              <w:t>ENINGKATAN KUALITAS PENGELOLAAN KEUANGAN DAERAH</w:t>
            </w:r>
          </w:p>
        </w:tc>
        <w:tc>
          <w:tcPr>
            <w:tcW w:w="1776" w:type="dxa"/>
            <w:gridSpan w:val="2"/>
            <w:tcBorders>
              <w:bottom w:val="single" w:color="000000" w:sz="4" w:space="0"/>
            </w:tcBorders>
            <w:vAlign w:val="center"/>
          </w:tcPr>
          <w:p>
            <w:pPr>
              <w:spacing w:before="60" w:after="60" w:line="240" w:lineRule="auto"/>
              <w:jc w:val="right"/>
              <w:rPr>
                <w:rFonts w:ascii="Tahoma" w:hAnsi="Tahoma" w:cs="Tahoma"/>
                <w:color w:val="000000"/>
                <w:sz w:val="20"/>
                <w:szCs w:val="20"/>
                <w:lang w:val="id-ID"/>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continue"/>
          </w:tcPr>
          <w:p>
            <w:pPr>
              <w:spacing w:before="60" w:after="60" w:line="240" w:lineRule="auto"/>
              <w:jc w:val="center"/>
              <w:rPr>
                <w:rFonts w:ascii="Tahoma" w:hAnsi="Tahoma" w:cs="Tahoma"/>
                <w:color w:val="000000"/>
                <w:sz w:val="20"/>
                <w:szCs w:val="20"/>
                <w:lang w:val="id-ID"/>
              </w:rPr>
            </w:pPr>
          </w:p>
        </w:tc>
        <w:tc>
          <w:tcPr>
            <w:tcW w:w="2100" w:type="dxa"/>
            <w:vMerge w:val="continue"/>
          </w:tcPr>
          <w:p>
            <w:pPr>
              <w:spacing w:before="60" w:after="60" w:line="240" w:lineRule="auto"/>
              <w:rPr>
                <w:rFonts w:ascii="Tahoma" w:hAnsi="Tahoma" w:cs="Tahoma"/>
                <w:color w:val="000000"/>
                <w:sz w:val="20"/>
                <w:szCs w:val="20"/>
                <w:lang w:val="id-ID"/>
              </w:rPr>
            </w:pPr>
          </w:p>
        </w:tc>
        <w:tc>
          <w:tcPr>
            <w:tcW w:w="2590" w:type="dxa"/>
            <w:vMerge w:val="continue"/>
          </w:tcPr>
          <w:p>
            <w:pPr>
              <w:spacing w:before="60" w:after="60" w:line="240" w:lineRule="auto"/>
              <w:rPr>
                <w:rFonts w:ascii="Tahoma" w:hAnsi="Tahoma" w:cs="Tahoma"/>
                <w:color w:val="000000"/>
                <w:sz w:val="20"/>
                <w:szCs w:val="20"/>
                <w:lang w:val="id-ID"/>
              </w:rPr>
            </w:pPr>
          </w:p>
        </w:tc>
        <w:tc>
          <w:tcPr>
            <w:tcW w:w="1352" w:type="dxa"/>
            <w:vMerge w:val="continue"/>
          </w:tcPr>
          <w:p>
            <w:pPr>
              <w:spacing w:before="60" w:after="60" w:line="240" w:lineRule="auto"/>
              <w:jc w:val="center"/>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1</w:t>
            </w:r>
          </w:p>
        </w:tc>
        <w:tc>
          <w:tcPr>
            <w:tcW w:w="4352" w:type="dxa"/>
            <w:gridSpan w:val="2"/>
            <w:tcBorders>
              <w:bottom w:val="single" w:color="000000" w:sz="4" w:space="0"/>
            </w:tcBorders>
          </w:tcPr>
          <w:p>
            <w:pPr>
              <w:spacing w:before="60" w:after="60" w:line="240" w:lineRule="auto"/>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Pembinaan dan Evaluasi Penyelenggaraan Badan Layanan Umum Daerah (BLUD)</w:t>
            </w:r>
          </w:p>
        </w:tc>
        <w:tc>
          <w:tcPr>
            <w:tcW w:w="1776" w:type="dxa"/>
            <w:gridSpan w:val="2"/>
            <w:tcBorders>
              <w:bottom w:val="single" w:color="000000" w:sz="4" w:space="0"/>
            </w:tcBorders>
            <w:vAlign w:val="center"/>
          </w:tcPr>
          <w:p>
            <w:pPr>
              <w:spacing w:before="60" w:after="60" w:line="240" w:lineRule="auto"/>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continue"/>
          </w:tcPr>
          <w:p>
            <w:pPr>
              <w:spacing w:before="60" w:after="60" w:line="240" w:lineRule="auto"/>
              <w:jc w:val="center"/>
              <w:rPr>
                <w:rFonts w:ascii="Tahoma" w:hAnsi="Tahoma" w:cs="Tahoma"/>
                <w:color w:val="000000"/>
                <w:sz w:val="20"/>
                <w:szCs w:val="20"/>
                <w:lang w:val="id-ID"/>
              </w:rPr>
            </w:pPr>
          </w:p>
        </w:tc>
        <w:tc>
          <w:tcPr>
            <w:tcW w:w="2100" w:type="dxa"/>
            <w:vMerge w:val="continue"/>
          </w:tcPr>
          <w:p>
            <w:pPr>
              <w:spacing w:before="60" w:after="60" w:line="240" w:lineRule="auto"/>
              <w:rPr>
                <w:rFonts w:ascii="Tahoma" w:hAnsi="Tahoma" w:cs="Tahoma"/>
                <w:color w:val="000000"/>
                <w:sz w:val="20"/>
                <w:szCs w:val="20"/>
                <w:lang w:val="id-ID"/>
              </w:rPr>
            </w:pPr>
          </w:p>
        </w:tc>
        <w:tc>
          <w:tcPr>
            <w:tcW w:w="2590" w:type="dxa"/>
            <w:vMerge w:val="continue"/>
          </w:tcPr>
          <w:p>
            <w:pPr>
              <w:spacing w:before="60" w:after="60" w:line="240" w:lineRule="auto"/>
              <w:rPr>
                <w:rFonts w:ascii="Tahoma" w:hAnsi="Tahoma" w:cs="Tahoma"/>
                <w:color w:val="000000"/>
                <w:sz w:val="20"/>
                <w:szCs w:val="20"/>
                <w:lang w:val="id-ID"/>
              </w:rPr>
            </w:pPr>
          </w:p>
        </w:tc>
        <w:tc>
          <w:tcPr>
            <w:tcW w:w="1352" w:type="dxa"/>
            <w:vMerge w:val="continue"/>
          </w:tcPr>
          <w:p>
            <w:pPr>
              <w:spacing w:before="60" w:after="60" w:line="240" w:lineRule="auto"/>
              <w:jc w:val="center"/>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2</w:t>
            </w:r>
          </w:p>
        </w:tc>
        <w:tc>
          <w:tcPr>
            <w:tcW w:w="4352" w:type="dxa"/>
            <w:gridSpan w:val="2"/>
            <w:tcBorders>
              <w:bottom w:val="single" w:color="000000" w:sz="4" w:space="0"/>
            </w:tcBorders>
          </w:tcPr>
          <w:p>
            <w:pPr>
              <w:spacing w:before="60" w:after="60" w:line="240" w:lineRule="auto"/>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Penyusunan Peraturan Gubernur tentang Penjabaran APBD</w:t>
            </w:r>
          </w:p>
        </w:tc>
        <w:tc>
          <w:tcPr>
            <w:tcW w:w="1776" w:type="dxa"/>
            <w:gridSpan w:val="2"/>
            <w:tcBorders>
              <w:bottom w:val="single" w:color="000000" w:sz="4" w:space="0"/>
            </w:tcBorders>
            <w:vAlign w:val="center"/>
          </w:tcPr>
          <w:p>
            <w:pPr>
              <w:spacing w:before="60" w:after="60" w:line="240" w:lineRule="auto"/>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120.684.800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continue"/>
          </w:tcPr>
          <w:p>
            <w:pPr>
              <w:spacing w:before="60" w:after="60" w:line="240" w:lineRule="auto"/>
              <w:jc w:val="center"/>
              <w:rPr>
                <w:rFonts w:ascii="Tahoma" w:hAnsi="Tahoma" w:cs="Tahoma"/>
                <w:color w:val="000000"/>
                <w:sz w:val="20"/>
                <w:szCs w:val="20"/>
                <w:lang w:val="id-ID"/>
              </w:rPr>
            </w:pPr>
          </w:p>
        </w:tc>
        <w:tc>
          <w:tcPr>
            <w:tcW w:w="2100" w:type="dxa"/>
            <w:vMerge w:val="continue"/>
          </w:tcPr>
          <w:p>
            <w:pPr>
              <w:spacing w:before="60" w:after="60" w:line="240" w:lineRule="auto"/>
              <w:rPr>
                <w:rFonts w:ascii="Tahoma" w:hAnsi="Tahoma" w:cs="Tahoma"/>
                <w:color w:val="000000"/>
                <w:sz w:val="20"/>
                <w:szCs w:val="20"/>
                <w:lang w:val="id-ID"/>
              </w:rPr>
            </w:pPr>
          </w:p>
        </w:tc>
        <w:tc>
          <w:tcPr>
            <w:tcW w:w="2590" w:type="dxa"/>
            <w:vMerge w:val="continue"/>
          </w:tcPr>
          <w:p>
            <w:pPr>
              <w:spacing w:before="60" w:after="60" w:line="240" w:lineRule="auto"/>
              <w:ind w:left="217"/>
              <w:rPr>
                <w:rFonts w:ascii="Tahoma" w:hAnsi="Tahoma" w:cs="Tahoma"/>
                <w:color w:val="000000"/>
                <w:sz w:val="20"/>
                <w:szCs w:val="20"/>
                <w:lang w:val="id-ID"/>
              </w:rPr>
            </w:pPr>
          </w:p>
        </w:tc>
        <w:tc>
          <w:tcPr>
            <w:tcW w:w="1352" w:type="dxa"/>
            <w:vMerge w:val="continue"/>
          </w:tcPr>
          <w:p>
            <w:pPr>
              <w:spacing w:before="60" w:after="60" w:line="240" w:lineRule="auto"/>
              <w:jc w:val="center"/>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3</w:t>
            </w:r>
          </w:p>
        </w:tc>
        <w:tc>
          <w:tcPr>
            <w:tcW w:w="4352" w:type="dxa"/>
            <w:gridSpan w:val="2"/>
            <w:tcBorders>
              <w:bottom w:val="single" w:color="000000" w:sz="4" w:space="0"/>
            </w:tcBorders>
          </w:tcPr>
          <w:p>
            <w:pPr>
              <w:spacing w:before="60" w:after="60" w:line="240" w:lineRule="auto"/>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Pelaksanaan  Penyelesaian Kerugian Daerah/Negara</w:t>
            </w:r>
          </w:p>
        </w:tc>
        <w:tc>
          <w:tcPr>
            <w:tcW w:w="1776" w:type="dxa"/>
            <w:gridSpan w:val="2"/>
            <w:tcBorders>
              <w:bottom w:val="single" w:color="000000" w:sz="4" w:space="0"/>
            </w:tcBorders>
            <w:vAlign w:val="center"/>
          </w:tcPr>
          <w:p>
            <w:pPr>
              <w:spacing w:before="60" w:after="60" w:line="240" w:lineRule="auto"/>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continue"/>
          </w:tcPr>
          <w:p>
            <w:pPr>
              <w:spacing w:before="60" w:after="60" w:line="240" w:lineRule="auto"/>
              <w:jc w:val="center"/>
              <w:rPr>
                <w:rFonts w:ascii="Tahoma" w:hAnsi="Tahoma" w:cs="Tahoma"/>
                <w:color w:val="000000"/>
                <w:sz w:val="20"/>
                <w:szCs w:val="20"/>
                <w:lang w:val="id-ID"/>
              </w:rPr>
            </w:pPr>
          </w:p>
        </w:tc>
        <w:tc>
          <w:tcPr>
            <w:tcW w:w="2100" w:type="dxa"/>
            <w:vMerge w:val="continue"/>
          </w:tcPr>
          <w:p>
            <w:pPr>
              <w:spacing w:before="60" w:after="60" w:line="240" w:lineRule="auto"/>
              <w:rPr>
                <w:rFonts w:ascii="Tahoma" w:hAnsi="Tahoma" w:cs="Tahoma"/>
                <w:color w:val="000000"/>
                <w:sz w:val="20"/>
                <w:szCs w:val="20"/>
                <w:lang w:val="id-ID"/>
              </w:rPr>
            </w:pPr>
          </w:p>
        </w:tc>
        <w:tc>
          <w:tcPr>
            <w:tcW w:w="2590" w:type="dxa"/>
            <w:vMerge w:val="continue"/>
          </w:tcPr>
          <w:p>
            <w:pPr>
              <w:spacing w:before="60" w:after="60" w:line="240" w:lineRule="auto"/>
              <w:ind w:left="217"/>
              <w:rPr>
                <w:rFonts w:ascii="Tahoma" w:hAnsi="Tahoma" w:cs="Tahoma"/>
                <w:color w:val="000000"/>
                <w:sz w:val="20"/>
                <w:szCs w:val="20"/>
                <w:lang w:val="id-ID"/>
              </w:rPr>
            </w:pPr>
          </w:p>
        </w:tc>
        <w:tc>
          <w:tcPr>
            <w:tcW w:w="1352" w:type="dxa"/>
            <w:vMerge w:val="continue"/>
          </w:tcPr>
          <w:p>
            <w:pPr>
              <w:spacing w:before="60" w:after="60" w:line="240" w:lineRule="auto"/>
              <w:jc w:val="center"/>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4</w:t>
            </w:r>
          </w:p>
        </w:tc>
        <w:tc>
          <w:tcPr>
            <w:tcW w:w="4352" w:type="dxa"/>
            <w:gridSpan w:val="2"/>
            <w:tcBorders>
              <w:bottom w:val="single" w:color="000000" w:sz="4" w:space="0"/>
            </w:tcBorders>
          </w:tcPr>
          <w:p>
            <w:pPr>
              <w:spacing w:before="60" w:after="60" w:line="240" w:lineRule="auto"/>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Bimbingan dan Pelatihan Teknis Peningkatan SDM Berbasis Teknologi Informasi</w:t>
            </w:r>
          </w:p>
        </w:tc>
        <w:tc>
          <w:tcPr>
            <w:tcW w:w="1776" w:type="dxa"/>
            <w:gridSpan w:val="2"/>
            <w:tcBorders>
              <w:bottom w:val="single" w:color="000000" w:sz="4" w:space="0"/>
            </w:tcBorders>
            <w:vAlign w:val="center"/>
          </w:tcPr>
          <w:p>
            <w:pPr>
              <w:spacing w:before="60" w:after="60" w:line="240" w:lineRule="auto"/>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64.335.900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continue"/>
          </w:tcPr>
          <w:p>
            <w:pPr>
              <w:spacing w:before="60" w:after="60" w:line="240" w:lineRule="auto"/>
              <w:jc w:val="center"/>
              <w:rPr>
                <w:rFonts w:ascii="Tahoma" w:hAnsi="Tahoma" w:cs="Tahoma"/>
                <w:color w:val="000000"/>
                <w:sz w:val="20"/>
                <w:szCs w:val="20"/>
                <w:lang w:val="id-ID"/>
              </w:rPr>
            </w:pPr>
          </w:p>
        </w:tc>
        <w:tc>
          <w:tcPr>
            <w:tcW w:w="2100" w:type="dxa"/>
            <w:vMerge w:val="continue"/>
          </w:tcPr>
          <w:p>
            <w:pPr>
              <w:spacing w:before="60" w:after="60" w:line="240" w:lineRule="auto"/>
              <w:rPr>
                <w:rFonts w:ascii="Tahoma" w:hAnsi="Tahoma" w:cs="Tahoma"/>
                <w:color w:val="000000"/>
                <w:sz w:val="20"/>
                <w:szCs w:val="20"/>
                <w:lang w:val="id-ID"/>
              </w:rPr>
            </w:pPr>
          </w:p>
        </w:tc>
        <w:tc>
          <w:tcPr>
            <w:tcW w:w="2590" w:type="dxa"/>
            <w:vMerge w:val="continue"/>
          </w:tcPr>
          <w:p>
            <w:pPr>
              <w:spacing w:before="60" w:after="60" w:line="240" w:lineRule="auto"/>
              <w:ind w:left="217"/>
              <w:rPr>
                <w:rFonts w:ascii="Tahoma" w:hAnsi="Tahoma" w:cs="Tahoma"/>
                <w:color w:val="000000"/>
                <w:sz w:val="20"/>
                <w:szCs w:val="20"/>
                <w:lang w:val="id-ID"/>
              </w:rPr>
            </w:pPr>
          </w:p>
        </w:tc>
        <w:tc>
          <w:tcPr>
            <w:tcW w:w="1352" w:type="dxa"/>
            <w:vMerge w:val="continue"/>
          </w:tcPr>
          <w:p>
            <w:pPr>
              <w:spacing w:before="60" w:after="60" w:line="240" w:lineRule="auto"/>
              <w:jc w:val="center"/>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5</w:t>
            </w:r>
          </w:p>
        </w:tc>
        <w:tc>
          <w:tcPr>
            <w:tcW w:w="4352" w:type="dxa"/>
            <w:gridSpan w:val="2"/>
            <w:tcBorders>
              <w:bottom w:val="single" w:color="000000" w:sz="4" w:space="0"/>
            </w:tcBorders>
          </w:tcPr>
          <w:p>
            <w:pPr>
              <w:spacing w:before="60" w:after="60" w:line="240" w:lineRule="auto"/>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Penyusunan Peraturan Daerah tentang APBD</w:t>
            </w:r>
          </w:p>
        </w:tc>
        <w:tc>
          <w:tcPr>
            <w:tcW w:w="1776" w:type="dxa"/>
            <w:gridSpan w:val="2"/>
            <w:tcBorders>
              <w:bottom w:val="single" w:color="000000" w:sz="4" w:space="0"/>
            </w:tcBorders>
            <w:vAlign w:val="center"/>
          </w:tcPr>
          <w:p>
            <w:pPr>
              <w:spacing w:before="60" w:after="60" w:line="240" w:lineRule="auto"/>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858.847.400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continue"/>
          </w:tcPr>
          <w:p>
            <w:pPr>
              <w:spacing w:before="60" w:after="60" w:line="240" w:lineRule="auto"/>
              <w:jc w:val="center"/>
              <w:rPr>
                <w:rFonts w:ascii="Tahoma" w:hAnsi="Tahoma" w:cs="Tahoma"/>
                <w:color w:val="000000"/>
                <w:sz w:val="20"/>
                <w:szCs w:val="20"/>
                <w:lang w:val="id-ID"/>
              </w:rPr>
            </w:pPr>
          </w:p>
        </w:tc>
        <w:tc>
          <w:tcPr>
            <w:tcW w:w="2100" w:type="dxa"/>
            <w:vMerge w:val="continue"/>
          </w:tcPr>
          <w:p>
            <w:pPr>
              <w:spacing w:before="60" w:after="60" w:line="240" w:lineRule="auto"/>
              <w:rPr>
                <w:rFonts w:ascii="Tahoma" w:hAnsi="Tahoma" w:cs="Tahoma"/>
                <w:color w:val="000000"/>
                <w:sz w:val="20"/>
                <w:szCs w:val="20"/>
                <w:lang w:val="id-ID"/>
              </w:rPr>
            </w:pPr>
          </w:p>
        </w:tc>
        <w:tc>
          <w:tcPr>
            <w:tcW w:w="2590" w:type="dxa"/>
            <w:vMerge w:val="continue"/>
          </w:tcPr>
          <w:p>
            <w:pPr>
              <w:spacing w:before="60" w:after="60" w:line="240" w:lineRule="auto"/>
              <w:ind w:left="217"/>
              <w:rPr>
                <w:rFonts w:ascii="Tahoma" w:hAnsi="Tahoma" w:cs="Tahoma"/>
                <w:color w:val="000000"/>
                <w:sz w:val="20"/>
                <w:szCs w:val="20"/>
                <w:lang w:val="id-ID"/>
              </w:rPr>
            </w:pPr>
          </w:p>
        </w:tc>
        <w:tc>
          <w:tcPr>
            <w:tcW w:w="1352" w:type="dxa"/>
            <w:vMerge w:val="continue"/>
          </w:tcPr>
          <w:p>
            <w:pPr>
              <w:spacing w:before="60" w:after="60" w:line="240" w:lineRule="auto"/>
              <w:jc w:val="center"/>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6</w:t>
            </w:r>
          </w:p>
        </w:tc>
        <w:tc>
          <w:tcPr>
            <w:tcW w:w="4352" w:type="dxa"/>
            <w:gridSpan w:val="2"/>
            <w:tcBorders>
              <w:bottom w:val="single" w:color="000000" w:sz="4" w:space="0"/>
            </w:tcBorders>
          </w:tcPr>
          <w:p>
            <w:pPr>
              <w:tabs>
                <w:tab w:val="left" w:pos="2826"/>
              </w:tabs>
              <w:spacing w:before="60" w:after="60" w:line="240" w:lineRule="auto"/>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Penyusunan Peraturan Daerah tentang Perubahan APBD</w:t>
            </w:r>
          </w:p>
        </w:tc>
        <w:tc>
          <w:tcPr>
            <w:tcW w:w="1776" w:type="dxa"/>
            <w:gridSpan w:val="2"/>
            <w:tcBorders>
              <w:bottom w:val="single" w:color="000000" w:sz="4" w:space="0"/>
            </w:tcBorders>
            <w:vAlign w:val="center"/>
          </w:tcPr>
          <w:p>
            <w:pPr>
              <w:spacing w:before="60" w:after="60" w:line="240" w:lineRule="auto"/>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866.616.200</w:t>
            </w:r>
          </w:p>
          <w:p>
            <w:pPr>
              <w:spacing w:before="60" w:after="60" w:line="240" w:lineRule="auto"/>
              <w:jc w:val="right"/>
              <w:rPr>
                <w:rFonts w:ascii="Tahoma" w:hAnsi="Tahoma" w:cs="Tahoma"/>
                <w:color w:val="000000" w:themeColor="text1"/>
                <w:sz w:val="20"/>
                <w:szCs w:val="2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continue"/>
          </w:tcPr>
          <w:p>
            <w:pPr>
              <w:spacing w:before="60" w:after="60" w:line="240" w:lineRule="auto"/>
              <w:jc w:val="center"/>
              <w:rPr>
                <w:rFonts w:ascii="Tahoma" w:hAnsi="Tahoma" w:cs="Tahoma"/>
                <w:color w:val="000000"/>
                <w:sz w:val="20"/>
                <w:szCs w:val="20"/>
                <w:lang w:val="id-ID"/>
              </w:rPr>
            </w:pPr>
          </w:p>
        </w:tc>
        <w:tc>
          <w:tcPr>
            <w:tcW w:w="2100" w:type="dxa"/>
            <w:vMerge w:val="continue"/>
          </w:tcPr>
          <w:p>
            <w:pPr>
              <w:spacing w:before="60" w:after="60" w:line="240" w:lineRule="auto"/>
              <w:rPr>
                <w:rFonts w:ascii="Tahoma" w:hAnsi="Tahoma" w:cs="Tahoma"/>
                <w:color w:val="000000"/>
                <w:sz w:val="20"/>
                <w:szCs w:val="20"/>
                <w:lang w:val="id-ID"/>
              </w:rPr>
            </w:pPr>
          </w:p>
        </w:tc>
        <w:tc>
          <w:tcPr>
            <w:tcW w:w="2590" w:type="dxa"/>
            <w:vMerge w:val="continue"/>
          </w:tcPr>
          <w:p>
            <w:pPr>
              <w:spacing w:before="60" w:after="60" w:line="240" w:lineRule="auto"/>
              <w:ind w:left="217"/>
              <w:rPr>
                <w:rFonts w:ascii="Tahoma" w:hAnsi="Tahoma" w:cs="Tahoma"/>
                <w:color w:val="000000"/>
                <w:sz w:val="20"/>
                <w:szCs w:val="20"/>
                <w:lang w:val="id-ID"/>
              </w:rPr>
            </w:pPr>
          </w:p>
        </w:tc>
        <w:tc>
          <w:tcPr>
            <w:tcW w:w="1352" w:type="dxa"/>
            <w:vMerge w:val="continue"/>
          </w:tcPr>
          <w:p>
            <w:pPr>
              <w:spacing w:before="60" w:after="60" w:line="240" w:lineRule="auto"/>
              <w:jc w:val="center"/>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7</w:t>
            </w:r>
          </w:p>
        </w:tc>
        <w:tc>
          <w:tcPr>
            <w:tcW w:w="4352" w:type="dxa"/>
            <w:gridSpan w:val="2"/>
            <w:tcBorders>
              <w:bottom w:val="single" w:color="000000" w:sz="4" w:space="0"/>
            </w:tcBorders>
          </w:tcPr>
          <w:p>
            <w:pPr>
              <w:spacing w:before="60" w:after="60" w:line="240" w:lineRule="auto"/>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Verifikasi DPA-OPD, DPA-OPD Pergeseran dan DPA-OPD Perubahan</w:t>
            </w:r>
          </w:p>
        </w:tc>
        <w:tc>
          <w:tcPr>
            <w:tcW w:w="1776" w:type="dxa"/>
            <w:gridSpan w:val="2"/>
            <w:tcBorders>
              <w:bottom w:val="single" w:color="000000" w:sz="4" w:space="0"/>
            </w:tcBorders>
            <w:vAlign w:val="center"/>
          </w:tcPr>
          <w:p>
            <w:pPr>
              <w:spacing w:before="60" w:after="60" w:line="240" w:lineRule="auto"/>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383.471.341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continue"/>
          </w:tcPr>
          <w:p>
            <w:pPr>
              <w:spacing w:before="60" w:after="60" w:line="240" w:lineRule="auto"/>
              <w:jc w:val="center"/>
              <w:rPr>
                <w:rFonts w:ascii="Tahoma" w:hAnsi="Tahoma" w:cs="Tahoma"/>
                <w:color w:val="000000"/>
                <w:sz w:val="20"/>
                <w:szCs w:val="20"/>
                <w:lang w:val="id-ID"/>
              </w:rPr>
            </w:pPr>
          </w:p>
        </w:tc>
        <w:tc>
          <w:tcPr>
            <w:tcW w:w="2100" w:type="dxa"/>
            <w:vMerge w:val="continue"/>
          </w:tcPr>
          <w:p>
            <w:pPr>
              <w:spacing w:before="60" w:after="60" w:line="240" w:lineRule="auto"/>
              <w:rPr>
                <w:rFonts w:ascii="Tahoma" w:hAnsi="Tahoma" w:cs="Tahoma"/>
                <w:color w:val="000000"/>
                <w:sz w:val="20"/>
                <w:szCs w:val="20"/>
                <w:lang w:val="id-ID"/>
              </w:rPr>
            </w:pPr>
          </w:p>
        </w:tc>
        <w:tc>
          <w:tcPr>
            <w:tcW w:w="2590" w:type="dxa"/>
            <w:vMerge w:val="continue"/>
          </w:tcPr>
          <w:p>
            <w:pPr>
              <w:spacing w:before="60" w:after="60" w:line="240" w:lineRule="auto"/>
              <w:ind w:left="217"/>
              <w:rPr>
                <w:rFonts w:ascii="Tahoma" w:hAnsi="Tahoma" w:cs="Tahoma"/>
                <w:color w:val="000000"/>
                <w:sz w:val="20"/>
                <w:szCs w:val="20"/>
                <w:lang w:val="id-ID"/>
              </w:rPr>
            </w:pPr>
          </w:p>
        </w:tc>
        <w:tc>
          <w:tcPr>
            <w:tcW w:w="1352" w:type="dxa"/>
            <w:vMerge w:val="continue"/>
          </w:tcPr>
          <w:p>
            <w:pPr>
              <w:spacing w:before="60" w:after="60" w:line="240" w:lineRule="auto"/>
              <w:jc w:val="center"/>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8</w:t>
            </w:r>
          </w:p>
        </w:tc>
        <w:tc>
          <w:tcPr>
            <w:tcW w:w="4352" w:type="dxa"/>
            <w:gridSpan w:val="2"/>
            <w:tcBorders>
              <w:bottom w:val="single" w:color="000000" w:sz="4" w:space="0"/>
            </w:tcBorders>
          </w:tcPr>
          <w:p>
            <w:pPr>
              <w:spacing w:before="60" w:after="60" w:line="240" w:lineRule="auto"/>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Pembinaan Teknis Penyusunan Perencanaan Penganggaran SKPD Dilingkup Provinsi</w:t>
            </w:r>
          </w:p>
        </w:tc>
        <w:tc>
          <w:tcPr>
            <w:tcW w:w="1776" w:type="dxa"/>
            <w:gridSpan w:val="2"/>
            <w:tcBorders>
              <w:bottom w:val="single" w:color="000000" w:sz="4" w:space="0"/>
            </w:tcBorders>
            <w:vAlign w:val="center"/>
          </w:tcPr>
          <w:p>
            <w:pPr>
              <w:spacing w:before="60" w:after="60" w:line="240" w:lineRule="auto"/>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101.422.400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continue"/>
          </w:tcPr>
          <w:p>
            <w:pPr>
              <w:spacing w:before="60" w:after="60" w:line="240" w:lineRule="auto"/>
              <w:jc w:val="center"/>
              <w:rPr>
                <w:rFonts w:ascii="Tahoma" w:hAnsi="Tahoma" w:cs="Tahoma"/>
                <w:color w:val="000000"/>
                <w:sz w:val="20"/>
                <w:szCs w:val="20"/>
                <w:lang w:val="id-ID"/>
              </w:rPr>
            </w:pPr>
          </w:p>
        </w:tc>
        <w:tc>
          <w:tcPr>
            <w:tcW w:w="2100" w:type="dxa"/>
            <w:vMerge w:val="continue"/>
          </w:tcPr>
          <w:p>
            <w:pPr>
              <w:spacing w:before="60" w:after="60" w:line="240" w:lineRule="auto"/>
              <w:rPr>
                <w:rFonts w:ascii="Tahoma" w:hAnsi="Tahoma" w:cs="Tahoma"/>
                <w:color w:val="000000"/>
                <w:sz w:val="20"/>
                <w:szCs w:val="20"/>
                <w:lang w:val="id-ID"/>
              </w:rPr>
            </w:pPr>
          </w:p>
        </w:tc>
        <w:tc>
          <w:tcPr>
            <w:tcW w:w="2590" w:type="dxa"/>
            <w:vMerge w:val="continue"/>
          </w:tcPr>
          <w:p>
            <w:pPr>
              <w:spacing w:before="60" w:after="60" w:line="240" w:lineRule="auto"/>
              <w:ind w:left="217"/>
              <w:rPr>
                <w:rFonts w:ascii="Tahoma" w:hAnsi="Tahoma" w:cs="Tahoma"/>
                <w:color w:val="000000"/>
                <w:sz w:val="20"/>
                <w:szCs w:val="20"/>
                <w:lang w:val="id-ID"/>
              </w:rPr>
            </w:pPr>
          </w:p>
        </w:tc>
        <w:tc>
          <w:tcPr>
            <w:tcW w:w="1352" w:type="dxa"/>
            <w:vMerge w:val="continue"/>
          </w:tcPr>
          <w:p>
            <w:pPr>
              <w:spacing w:before="60" w:after="60" w:line="240" w:lineRule="auto"/>
              <w:jc w:val="center"/>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9</w:t>
            </w:r>
          </w:p>
        </w:tc>
        <w:tc>
          <w:tcPr>
            <w:tcW w:w="4352" w:type="dxa"/>
            <w:gridSpan w:val="2"/>
            <w:tcBorders>
              <w:bottom w:val="single" w:color="000000" w:sz="4" w:space="0"/>
            </w:tcBorders>
          </w:tcPr>
          <w:p>
            <w:pPr>
              <w:spacing w:before="60" w:after="60" w:line="240" w:lineRule="auto"/>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Penyusunan Laporan Pertanggungjawaban Pelaksanaan APBD</w:t>
            </w:r>
          </w:p>
        </w:tc>
        <w:tc>
          <w:tcPr>
            <w:tcW w:w="1776" w:type="dxa"/>
            <w:gridSpan w:val="2"/>
            <w:tcBorders>
              <w:bottom w:val="single" w:color="000000" w:sz="4" w:space="0"/>
            </w:tcBorders>
            <w:vAlign w:val="center"/>
          </w:tcPr>
          <w:p>
            <w:pPr>
              <w:spacing w:before="60" w:after="60" w:line="240" w:lineRule="auto"/>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616.866.900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continue"/>
          </w:tcPr>
          <w:p>
            <w:pPr>
              <w:spacing w:before="60" w:after="60" w:line="240" w:lineRule="auto"/>
              <w:jc w:val="center"/>
              <w:rPr>
                <w:rFonts w:ascii="Tahoma" w:hAnsi="Tahoma" w:cs="Tahoma"/>
                <w:color w:val="000000"/>
                <w:sz w:val="20"/>
                <w:szCs w:val="20"/>
                <w:lang w:val="id-ID"/>
              </w:rPr>
            </w:pPr>
          </w:p>
        </w:tc>
        <w:tc>
          <w:tcPr>
            <w:tcW w:w="2100" w:type="dxa"/>
            <w:vMerge w:val="continue"/>
          </w:tcPr>
          <w:p>
            <w:pPr>
              <w:spacing w:before="60" w:after="60" w:line="240" w:lineRule="auto"/>
              <w:rPr>
                <w:rFonts w:ascii="Tahoma" w:hAnsi="Tahoma" w:cs="Tahoma"/>
                <w:color w:val="000000"/>
                <w:sz w:val="20"/>
                <w:szCs w:val="20"/>
                <w:lang w:val="id-ID"/>
              </w:rPr>
            </w:pPr>
          </w:p>
        </w:tc>
        <w:tc>
          <w:tcPr>
            <w:tcW w:w="2590" w:type="dxa"/>
            <w:vMerge w:val="continue"/>
          </w:tcPr>
          <w:p>
            <w:pPr>
              <w:spacing w:before="60" w:after="60" w:line="240" w:lineRule="auto"/>
              <w:ind w:left="217"/>
              <w:rPr>
                <w:rFonts w:ascii="Tahoma" w:hAnsi="Tahoma" w:cs="Tahoma"/>
                <w:color w:val="000000"/>
                <w:sz w:val="20"/>
                <w:szCs w:val="20"/>
                <w:lang w:val="id-ID"/>
              </w:rPr>
            </w:pPr>
          </w:p>
        </w:tc>
        <w:tc>
          <w:tcPr>
            <w:tcW w:w="1352" w:type="dxa"/>
            <w:vMerge w:val="continue"/>
          </w:tcPr>
          <w:p>
            <w:pPr>
              <w:spacing w:before="60" w:after="60" w:line="240" w:lineRule="auto"/>
              <w:jc w:val="center"/>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10</w:t>
            </w:r>
          </w:p>
        </w:tc>
        <w:tc>
          <w:tcPr>
            <w:tcW w:w="4352" w:type="dxa"/>
            <w:gridSpan w:val="2"/>
            <w:tcBorders>
              <w:bottom w:val="single" w:color="000000" w:sz="4" w:space="0"/>
            </w:tcBorders>
          </w:tcPr>
          <w:p>
            <w:pPr>
              <w:spacing w:before="60" w:after="60" w:line="240" w:lineRule="auto"/>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Pengembangan Sistem Informasi Pengelolaan Keuangan Daerah - SIPKD</w:t>
            </w:r>
          </w:p>
        </w:tc>
        <w:tc>
          <w:tcPr>
            <w:tcW w:w="1776" w:type="dxa"/>
            <w:gridSpan w:val="2"/>
            <w:tcBorders>
              <w:bottom w:val="single" w:color="000000" w:sz="4" w:space="0"/>
            </w:tcBorders>
            <w:vAlign w:val="center"/>
          </w:tcPr>
          <w:p>
            <w:pPr>
              <w:spacing w:before="60" w:after="60" w:line="240" w:lineRule="auto"/>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684.849.700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9" w:hRule="atLeast"/>
        </w:trPr>
        <w:tc>
          <w:tcPr>
            <w:tcW w:w="522" w:type="dxa"/>
            <w:vMerge w:val="continue"/>
          </w:tcPr>
          <w:p>
            <w:pPr>
              <w:spacing w:before="60" w:after="60" w:line="240" w:lineRule="auto"/>
              <w:jc w:val="center"/>
              <w:rPr>
                <w:rFonts w:ascii="Tahoma" w:hAnsi="Tahoma" w:cs="Tahoma"/>
                <w:color w:val="000000"/>
                <w:sz w:val="20"/>
                <w:szCs w:val="20"/>
                <w:lang w:val="id-ID"/>
              </w:rPr>
            </w:pPr>
          </w:p>
        </w:tc>
        <w:tc>
          <w:tcPr>
            <w:tcW w:w="2100" w:type="dxa"/>
            <w:vMerge w:val="continue"/>
          </w:tcPr>
          <w:p>
            <w:pPr>
              <w:spacing w:before="60" w:after="60" w:line="240" w:lineRule="auto"/>
              <w:rPr>
                <w:rFonts w:ascii="Tahoma" w:hAnsi="Tahoma" w:cs="Tahoma"/>
                <w:color w:val="000000"/>
                <w:sz w:val="20"/>
                <w:szCs w:val="20"/>
                <w:lang w:val="id-ID"/>
              </w:rPr>
            </w:pPr>
          </w:p>
        </w:tc>
        <w:tc>
          <w:tcPr>
            <w:tcW w:w="2590" w:type="dxa"/>
            <w:vMerge w:val="continue"/>
          </w:tcPr>
          <w:p>
            <w:pPr>
              <w:spacing w:before="60" w:after="60" w:line="240" w:lineRule="auto"/>
              <w:ind w:left="217"/>
              <w:rPr>
                <w:rFonts w:ascii="Tahoma" w:hAnsi="Tahoma" w:cs="Tahoma"/>
                <w:color w:val="000000"/>
                <w:sz w:val="20"/>
                <w:szCs w:val="20"/>
                <w:lang w:val="id-ID"/>
              </w:rPr>
            </w:pPr>
          </w:p>
        </w:tc>
        <w:tc>
          <w:tcPr>
            <w:tcW w:w="1352" w:type="dxa"/>
            <w:vMerge w:val="continue"/>
          </w:tcPr>
          <w:p>
            <w:pPr>
              <w:spacing w:before="60" w:after="60" w:line="240" w:lineRule="auto"/>
              <w:jc w:val="center"/>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11</w:t>
            </w:r>
          </w:p>
        </w:tc>
        <w:tc>
          <w:tcPr>
            <w:tcW w:w="4352" w:type="dxa"/>
            <w:gridSpan w:val="2"/>
            <w:tcBorders>
              <w:bottom w:val="single" w:color="000000" w:sz="4" w:space="0"/>
            </w:tcBorders>
          </w:tcPr>
          <w:p>
            <w:pPr>
              <w:spacing w:before="60" w:after="60" w:line="240" w:lineRule="auto"/>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Penetapan Pengelolaan Keuangan Penerima Hibah, Bantuan Keuangan dan Bantuan Operasional Sekolah</w:t>
            </w:r>
          </w:p>
        </w:tc>
        <w:tc>
          <w:tcPr>
            <w:tcW w:w="1776" w:type="dxa"/>
            <w:gridSpan w:val="2"/>
            <w:tcBorders>
              <w:bottom w:val="single" w:color="000000" w:sz="4" w:space="0"/>
            </w:tcBorders>
            <w:vAlign w:val="center"/>
          </w:tcPr>
          <w:p>
            <w:pPr>
              <w:spacing w:before="60" w:after="60" w:line="240" w:lineRule="auto"/>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93.875.100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continue"/>
          </w:tcPr>
          <w:p>
            <w:pPr>
              <w:spacing w:before="60" w:after="60" w:line="240" w:lineRule="auto"/>
              <w:jc w:val="center"/>
              <w:rPr>
                <w:rFonts w:ascii="Tahoma" w:hAnsi="Tahoma" w:cs="Tahoma"/>
                <w:color w:val="000000"/>
                <w:sz w:val="20"/>
                <w:szCs w:val="20"/>
                <w:lang w:val="id-ID"/>
              </w:rPr>
            </w:pPr>
          </w:p>
        </w:tc>
        <w:tc>
          <w:tcPr>
            <w:tcW w:w="2100" w:type="dxa"/>
            <w:vMerge w:val="continue"/>
          </w:tcPr>
          <w:p>
            <w:pPr>
              <w:spacing w:before="60" w:after="60" w:line="240" w:lineRule="auto"/>
              <w:rPr>
                <w:rFonts w:ascii="Tahoma" w:hAnsi="Tahoma" w:cs="Tahoma"/>
                <w:color w:val="000000"/>
                <w:sz w:val="20"/>
                <w:szCs w:val="20"/>
                <w:lang w:val="id-ID"/>
              </w:rPr>
            </w:pPr>
          </w:p>
        </w:tc>
        <w:tc>
          <w:tcPr>
            <w:tcW w:w="2590" w:type="dxa"/>
            <w:vMerge w:val="continue"/>
          </w:tcPr>
          <w:p>
            <w:pPr>
              <w:spacing w:before="60" w:after="60" w:line="240" w:lineRule="auto"/>
              <w:ind w:left="217"/>
              <w:rPr>
                <w:rFonts w:ascii="Tahoma" w:hAnsi="Tahoma" w:cs="Tahoma"/>
                <w:color w:val="000000"/>
                <w:sz w:val="20"/>
                <w:szCs w:val="20"/>
                <w:lang w:val="id-ID"/>
              </w:rPr>
            </w:pPr>
          </w:p>
        </w:tc>
        <w:tc>
          <w:tcPr>
            <w:tcW w:w="1352" w:type="dxa"/>
            <w:vMerge w:val="continue"/>
          </w:tcPr>
          <w:p>
            <w:pPr>
              <w:spacing w:before="60" w:after="60" w:line="240" w:lineRule="auto"/>
              <w:jc w:val="center"/>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12</w:t>
            </w:r>
          </w:p>
        </w:tc>
        <w:tc>
          <w:tcPr>
            <w:tcW w:w="4352" w:type="dxa"/>
            <w:gridSpan w:val="2"/>
            <w:tcBorders>
              <w:bottom w:val="single" w:color="000000" w:sz="4" w:space="0"/>
            </w:tcBorders>
          </w:tcPr>
          <w:p>
            <w:pPr>
              <w:spacing w:before="60" w:after="60" w:line="240" w:lineRule="auto"/>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Sosialisasi Peraturan Perundang-Undangan tentang Penatausahaan Keuangan kepada OPD Lingkup Provinsi Sumbar</w:t>
            </w:r>
          </w:p>
        </w:tc>
        <w:tc>
          <w:tcPr>
            <w:tcW w:w="1776" w:type="dxa"/>
            <w:gridSpan w:val="2"/>
            <w:tcBorders>
              <w:bottom w:val="single" w:color="000000" w:sz="4" w:space="0"/>
            </w:tcBorders>
            <w:vAlign w:val="center"/>
          </w:tcPr>
          <w:p>
            <w:pPr>
              <w:spacing w:before="60" w:after="60" w:line="240" w:lineRule="auto"/>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20.002.400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continue"/>
          </w:tcPr>
          <w:p>
            <w:pPr>
              <w:spacing w:before="60" w:after="60" w:line="240" w:lineRule="auto"/>
              <w:jc w:val="center"/>
              <w:rPr>
                <w:rFonts w:ascii="Tahoma" w:hAnsi="Tahoma" w:cs="Tahoma"/>
                <w:color w:val="000000"/>
                <w:sz w:val="20"/>
                <w:szCs w:val="20"/>
                <w:lang w:val="id-ID"/>
              </w:rPr>
            </w:pPr>
          </w:p>
        </w:tc>
        <w:tc>
          <w:tcPr>
            <w:tcW w:w="2100" w:type="dxa"/>
            <w:vMerge w:val="continue"/>
          </w:tcPr>
          <w:p>
            <w:pPr>
              <w:spacing w:before="60" w:after="60" w:line="240" w:lineRule="auto"/>
              <w:rPr>
                <w:rFonts w:ascii="Tahoma" w:hAnsi="Tahoma" w:cs="Tahoma"/>
                <w:color w:val="000000"/>
                <w:sz w:val="20"/>
                <w:szCs w:val="20"/>
                <w:lang w:val="id-ID"/>
              </w:rPr>
            </w:pPr>
          </w:p>
        </w:tc>
        <w:tc>
          <w:tcPr>
            <w:tcW w:w="2590" w:type="dxa"/>
            <w:vMerge w:val="continue"/>
          </w:tcPr>
          <w:p>
            <w:pPr>
              <w:spacing w:before="60" w:after="60" w:line="240" w:lineRule="auto"/>
              <w:ind w:left="217"/>
              <w:rPr>
                <w:rFonts w:ascii="Tahoma" w:hAnsi="Tahoma" w:cs="Tahoma"/>
                <w:color w:val="000000"/>
                <w:sz w:val="20"/>
                <w:szCs w:val="20"/>
                <w:lang w:val="id-ID"/>
              </w:rPr>
            </w:pPr>
          </w:p>
        </w:tc>
        <w:tc>
          <w:tcPr>
            <w:tcW w:w="1352" w:type="dxa"/>
            <w:vMerge w:val="continue"/>
          </w:tcPr>
          <w:p>
            <w:pPr>
              <w:spacing w:before="60" w:after="60" w:line="240" w:lineRule="auto"/>
              <w:jc w:val="center"/>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13</w:t>
            </w:r>
          </w:p>
        </w:tc>
        <w:tc>
          <w:tcPr>
            <w:tcW w:w="4352" w:type="dxa"/>
            <w:gridSpan w:val="2"/>
            <w:tcBorders>
              <w:bottom w:val="single" w:color="000000" w:sz="4" w:space="0"/>
            </w:tcBorders>
          </w:tcPr>
          <w:p>
            <w:pPr>
              <w:spacing w:before="60" w:after="60" w:line="240" w:lineRule="auto"/>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 xml:space="preserve">Rekonsiliasi Dana Transfer, Belanja Pegawai dan Daftar Transaksi Harian dan Rekapitulasi Harian </w:t>
            </w:r>
          </w:p>
        </w:tc>
        <w:tc>
          <w:tcPr>
            <w:tcW w:w="1776" w:type="dxa"/>
            <w:gridSpan w:val="2"/>
            <w:tcBorders>
              <w:bottom w:val="single" w:color="000000" w:sz="4" w:space="0"/>
            </w:tcBorders>
            <w:vAlign w:val="center"/>
          </w:tcPr>
          <w:p>
            <w:pPr>
              <w:spacing w:before="60" w:after="60" w:line="240" w:lineRule="auto"/>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251.229.600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continue"/>
          </w:tcPr>
          <w:p>
            <w:pPr>
              <w:spacing w:before="60" w:after="60" w:line="240" w:lineRule="auto"/>
              <w:jc w:val="center"/>
              <w:rPr>
                <w:rFonts w:ascii="Tahoma" w:hAnsi="Tahoma" w:cs="Tahoma"/>
                <w:color w:val="000000"/>
                <w:sz w:val="20"/>
                <w:szCs w:val="20"/>
                <w:lang w:val="id-ID"/>
              </w:rPr>
            </w:pPr>
          </w:p>
        </w:tc>
        <w:tc>
          <w:tcPr>
            <w:tcW w:w="2100" w:type="dxa"/>
            <w:vMerge w:val="continue"/>
          </w:tcPr>
          <w:p>
            <w:pPr>
              <w:spacing w:before="60" w:after="60" w:line="240" w:lineRule="auto"/>
              <w:rPr>
                <w:rFonts w:ascii="Tahoma" w:hAnsi="Tahoma" w:cs="Tahoma"/>
                <w:color w:val="000000"/>
                <w:sz w:val="20"/>
                <w:szCs w:val="20"/>
                <w:lang w:val="id-ID"/>
              </w:rPr>
            </w:pPr>
          </w:p>
        </w:tc>
        <w:tc>
          <w:tcPr>
            <w:tcW w:w="2590" w:type="dxa"/>
            <w:vMerge w:val="continue"/>
          </w:tcPr>
          <w:p>
            <w:pPr>
              <w:spacing w:before="60" w:after="60" w:line="240" w:lineRule="auto"/>
              <w:ind w:left="217"/>
              <w:rPr>
                <w:rFonts w:ascii="Tahoma" w:hAnsi="Tahoma" w:cs="Tahoma"/>
                <w:color w:val="000000"/>
                <w:sz w:val="20"/>
                <w:szCs w:val="20"/>
                <w:lang w:val="id-ID"/>
              </w:rPr>
            </w:pPr>
          </w:p>
        </w:tc>
        <w:tc>
          <w:tcPr>
            <w:tcW w:w="1352" w:type="dxa"/>
            <w:vMerge w:val="continue"/>
          </w:tcPr>
          <w:p>
            <w:pPr>
              <w:spacing w:before="60" w:after="60" w:line="240" w:lineRule="auto"/>
              <w:jc w:val="center"/>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14</w:t>
            </w:r>
          </w:p>
        </w:tc>
        <w:tc>
          <w:tcPr>
            <w:tcW w:w="4352" w:type="dxa"/>
            <w:gridSpan w:val="2"/>
            <w:tcBorders>
              <w:bottom w:val="single" w:color="000000" w:sz="4" w:space="0"/>
            </w:tcBorders>
          </w:tcPr>
          <w:p>
            <w:pPr>
              <w:spacing w:before="60" w:after="60" w:line="240" w:lineRule="auto"/>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Penyusunan Peraturan Terkait Perencanaan dan Penganggaran</w:t>
            </w:r>
          </w:p>
        </w:tc>
        <w:tc>
          <w:tcPr>
            <w:tcW w:w="1776" w:type="dxa"/>
            <w:gridSpan w:val="2"/>
            <w:tcBorders>
              <w:bottom w:val="single" w:color="000000" w:sz="4" w:space="0"/>
            </w:tcBorders>
            <w:vAlign w:val="center"/>
          </w:tcPr>
          <w:p>
            <w:pPr>
              <w:spacing w:before="60" w:after="60" w:line="240" w:lineRule="auto"/>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226.409.350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continue"/>
          </w:tcPr>
          <w:p>
            <w:pPr>
              <w:spacing w:before="60" w:after="60" w:line="240" w:lineRule="auto"/>
              <w:jc w:val="center"/>
              <w:rPr>
                <w:rFonts w:ascii="Tahoma" w:hAnsi="Tahoma" w:cs="Tahoma"/>
                <w:color w:val="000000"/>
                <w:sz w:val="20"/>
                <w:szCs w:val="20"/>
                <w:lang w:val="id-ID"/>
              </w:rPr>
            </w:pPr>
          </w:p>
        </w:tc>
        <w:tc>
          <w:tcPr>
            <w:tcW w:w="2100" w:type="dxa"/>
            <w:vMerge w:val="continue"/>
          </w:tcPr>
          <w:p>
            <w:pPr>
              <w:spacing w:before="60" w:after="60" w:line="240" w:lineRule="auto"/>
              <w:rPr>
                <w:rFonts w:ascii="Tahoma" w:hAnsi="Tahoma" w:cs="Tahoma"/>
                <w:color w:val="000000"/>
                <w:sz w:val="20"/>
                <w:szCs w:val="20"/>
                <w:lang w:val="id-ID"/>
              </w:rPr>
            </w:pPr>
          </w:p>
        </w:tc>
        <w:tc>
          <w:tcPr>
            <w:tcW w:w="2590" w:type="dxa"/>
            <w:vMerge w:val="continue"/>
          </w:tcPr>
          <w:p>
            <w:pPr>
              <w:spacing w:before="60" w:after="60" w:line="240" w:lineRule="auto"/>
              <w:ind w:left="217"/>
              <w:jc w:val="center"/>
              <w:rPr>
                <w:rFonts w:ascii="Tahoma" w:hAnsi="Tahoma" w:cs="Tahoma"/>
                <w:color w:val="000000"/>
                <w:sz w:val="20"/>
                <w:szCs w:val="20"/>
                <w:lang w:val="id-ID"/>
              </w:rPr>
            </w:pPr>
          </w:p>
        </w:tc>
        <w:tc>
          <w:tcPr>
            <w:tcW w:w="1352" w:type="dxa"/>
            <w:vMerge w:val="continue"/>
          </w:tcPr>
          <w:p>
            <w:pPr>
              <w:spacing w:before="60" w:after="60" w:line="240" w:lineRule="auto"/>
              <w:jc w:val="center"/>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15</w:t>
            </w:r>
          </w:p>
        </w:tc>
        <w:tc>
          <w:tcPr>
            <w:tcW w:w="4352" w:type="dxa"/>
            <w:gridSpan w:val="2"/>
            <w:tcBorders>
              <w:bottom w:val="single" w:color="000000" w:sz="4" w:space="0"/>
            </w:tcBorders>
          </w:tcPr>
          <w:p>
            <w:pPr>
              <w:spacing w:before="60" w:after="60" w:line="240" w:lineRule="auto"/>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Sosialisasi Peraturan Terkait Perencanaan dan Penganggaran Keuangan Daerah Kepada OPD Ditingkat</w:t>
            </w:r>
          </w:p>
        </w:tc>
        <w:tc>
          <w:tcPr>
            <w:tcW w:w="1776" w:type="dxa"/>
            <w:gridSpan w:val="2"/>
            <w:tcBorders>
              <w:bottom w:val="single" w:color="000000" w:sz="4" w:space="0"/>
            </w:tcBorders>
            <w:vAlign w:val="center"/>
          </w:tcPr>
          <w:p>
            <w:pPr>
              <w:spacing w:before="60" w:after="60" w:line="240" w:lineRule="auto"/>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continue"/>
          </w:tcPr>
          <w:p>
            <w:pPr>
              <w:spacing w:before="60" w:after="60" w:line="240" w:lineRule="auto"/>
              <w:jc w:val="center"/>
              <w:rPr>
                <w:rFonts w:ascii="Tahoma" w:hAnsi="Tahoma" w:cs="Tahoma"/>
                <w:color w:val="000000"/>
                <w:sz w:val="20"/>
                <w:szCs w:val="20"/>
                <w:lang w:val="id-ID"/>
              </w:rPr>
            </w:pPr>
          </w:p>
        </w:tc>
        <w:tc>
          <w:tcPr>
            <w:tcW w:w="2100" w:type="dxa"/>
            <w:vMerge w:val="continue"/>
          </w:tcPr>
          <w:p>
            <w:pPr>
              <w:spacing w:before="60" w:after="60" w:line="240" w:lineRule="auto"/>
              <w:rPr>
                <w:rFonts w:ascii="Tahoma" w:hAnsi="Tahoma" w:cs="Tahoma"/>
                <w:color w:val="000000"/>
                <w:sz w:val="20"/>
                <w:szCs w:val="20"/>
                <w:lang w:val="id-ID"/>
              </w:rPr>
            </w:pPr>
          </w:p>
        </w:tc>
        <w:tc>
          <w:tcPr>
            <w:tcW w:w="2590" w:type="dxa"/>
            <w:vMerge w:val="continue"/>
          </w:tcPr>
          <w:p>
            <w:pPr>
              <w:spacing w:before="60" w:after="60" w:line="240" w:lineRule="auto"/>
              <w:ind w:left="217"/>
              <w:rPr>
                <w:rFonts w:ascii="Tahoma" w:hAnsi="Tahoma" w:cs="Tahoma"/>
                <w:color w:val="000000"/>
                <w:sz w:val="20"/>
                <w:szCs w:val="20"/>
                <w:lang w:val="id-ID"/>
              </w:rPr>
            </w:pPr>
          </w:p>
        </w:tc>
        <w:tc>
          <w:tcPr>
            <w:tcW w:w="1352" w:type="dxa"/>
            <w:vMerge w:val="continue"/>
          </w:tcPr>
          <w:p>
            <w:pPr>
              <w:spacing w:before="60" w:after="60" w:line="240" w:lineRule="auto"/>
              <w:jc w:val="center"/>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16</w:t>
            </w:r>
          </w:p>
        </w:tc>
        <w:tc>
          <w:tcPr>
            <w:tcW w:w="4352" w:type="dxa"/>
            <w:gridSpan w:val="2"/>
            <w:tcBorders>
              <w:bottom w:val="single" w:color="000000" w:sz="4" w:space="0"/>
            </w:tcBorders>
          </w:tcPr>
          <w:p>
            <w:pPr>
              <w:spacing w:before="60" w:after="60" w:line="240" w:lineRule="auto"/>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 xml:space="preserve">Pembahasan RKP-OPD dan DPPA-OPD/RKA-OPD Kegiatan Baru </w:t>
            </w:r>
          </w:p>
        </w:tc>
        <w:tc>
          <w:tcPr>
            <w:tcW w:w="1776" w:type="dxa"/>
            <w:gridSpan w:val="2"/>
            <w:tcBorders>
              <w:bottom w:val="single" w:color="000000" w:sz="4" w:space="0"/>
            </w:tcBorders>
            <w:vAlign w:val="center"/>
          </w:tcPr>
          <w:p>
            <w:pPr>
              <w:spacing w:before="60" w:after="60" w:line="240" w:lineRule="auto"/>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414.387.350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continue"/>
            <w:tcBorders>
              <w:bottom w:val="nil"/>
            </w:tcBorders>
          </w:tcPr>
          <w:p>
            <w:pPr>
              <w:spacing w:before="60" w:after="60" w:line="240" w:lineRule="auto"/>
              <w:jc w:val="center"/>
              <w:rPr>
                <w:rFonts w:ascii="Tahoma" w:hAnsi="Tahoma" w:cs="Tahoma"/>
                <w:color w:val="000000"/>
                <w:sz w:val="20"/>
                <w:szCs w:val="20"/>
                <w:lang w:val="id-ID"/>
              </w:rPr>
            </w:pPr>
          </w:p>
        </w:tc>
        <w:tc>
          <w:tcPr>
            <w:tcW w:w="2100" w:type="dxa"/>
            <w:vMerge w:val="continue"/>
            <w:tcBorders>
              <w:bottom w:val="nil"/>
            </w:tcBorders>
          </w:tcPr>
          <w:p>
            <w:pPr>
              <w:spacing w:before="60" w:after="60" w:line="240" w:lineRule="auto"/>
              <w:rPr>
                <w:rFonts w:ascii="Tahoma" w:hAnsi="Tahoma" w:cs="Tahoma"/>
                <w:color w:val="000000"/>
                <w:sz w:val="20"/>
                <w:szCs w:val="20"/>
                <w:lang w:val="id-ID"/>
              </w:rPr>
            </w:pPr>
          </w:p>
        </w:tc>
        <w:tc>
          <w:tcPr>
            <w:tcW w:w="2590" w:type="dxa"/>
            <w:vMerge w:val="continue"/>
            <w:tcBorders>
              <w:bottom w:val="nil"/>
            </w:tcBorders>
          </w:tcPr>
          <w:p>
            <w:pPr>
              <w:spacing w:before="60" w:after="60" w:line="240" w:lineRule="auto"/>
              <w:ind w:left="217"/>
              <w:rPr>
                <w:rFonts w:ascii="Tahoma" w:hAnsi="Tahoma" w:cs="Tahoma"/>
                <w:color w:val="000000"/>
                <w:sz w:val="20"/>
                <w:szCs w:val="20"/>
                <w:lang w:val="id-ID"/>
              </w:rPr>
            </w:pPr>
          </w:p>
        </w:tc>
        <w:tc>
          <w:tcPr>
            <w:tcW w:w="1352" w:type="dxa"/>
            <w:vMerge w:val="continue"/>
            <w:tcBorders>
              <w:bottom w:val="nil"/>
            </w:tcBorders>
          </w:tcPr>
          <w:p>
            <w:pPr>
              <w:spacing w:before="60" w:after="60" w:line="240" w:lineRule="auto"/>
              <w:jc w:val="center"/>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17</w:t>
            </w:r>
          </w:p>
        </w:tc>
        <w:tc>
          <w:tcPr>
            <w:tcW w:w="4352" w:type="dxa"/>
            <w:gridSpan w:val="2"/>
            <w:tcBorders>
              <w:bottom w:val="single" w:color="000000" w:sz="4" w:space="0"/>
            </w:tcBorders>
          </w:tcPr>
          <w:p>
            <w:pPr>
              <w:spacing w:before="60" w:after="60" w:line="240" w:lineRule="auto"/>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Penyusunan Peraturan Gubernur tentang Penjabaran Perubahan APBD</w:t>
            </w:r>
          </w:p>
        </w:tc>
        <w:tc>
          <w:tcPr>
            <w:tcW w:w="1776" w:type="dxa"/>
            <w:gridSpan w:val="2"/>
            <w:tcBorders>
              <w:bottom w:val="single" w:color="000000" w:sz="4" w:space="0"/>
            </w:tcBorders>
            <w:vAlign w:val="center"/>
          </w:tcPr>
          <w:p>
            <w:pPr>
              <w:spacing w:before="60" w:after="60" w:line="240" w:lineRule="auto"/>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252.897.250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22" w:type="dxa"/>
            <w:tcBorders>
              <w:top w:val="nil"/>
              <w:left w:val="single" w:color="auto" w:sz="4" w:space="0"/>
              <w:bottom w:val="single" w:color="auto" w:sz="4" w:space="0"/>
              <w:right w:val="single" w:color="auto" w:sz="4" w:space="0"/>
            </w:tcBorders>
          </w:tcPr>
          <w:p>
            <w:pPr>
              <w:spacing w:before="60" w:after="60" w:line="240" w:lineRule="auto"/>
              <w:jc w:val="center"/>
              <w:rPr>
                <w:rFonts w:ascii="Tahoma" w:hAnsi="Tahoma" w:cs="Tahoma"/>
                <w:color w:val="000000"/>
                <w:sz w:val="20"/>
                <w:szCs w:val="20"/>
                <w:lang w:val="id-ID"/>
              </w:rPr>
            </w:pPr>
          </w:p>
        </w:tc>
        <w:tc>
          <w:tcPr>
            <w:tcW w:w="2100" w:type="dxa"/>
            <w:tcBorders>
              <w:top w:val="nil"/>
              <w:left w:val="single" w:color="auto" w:sz="4" w:space="0"/>
              <w:bottom w:val="single" w:color="auto" w:sz="4" w:space="0"/>
              <w:right w:val="single" w:color="auto" w:sz="4" w:space="0"/>
            </w:tcBorders>
          </w:tcPr>
          <w:p>
            <w:pPr>
              <w:spacing w:before="60" w:after="60" w:line="240" w:lineRule="auto"/>
              <w:rPr>
                <w:rFonts w:ascii="Tahoma" w:hAnsi="Tahoma" w:cs="Tahoma"/>
                <w:color w:val="000000"/>
                <w:sz w:val="20"/>
                <w:szCs w:val="20"/>
                <w:lang w:val="id-ID"/>
              </w:rPr>
            </w:pPr>
          </w:p>
        </w:tc>
        <w:tc>
          <w:tcPr>
            <w:tcW w:w="2590" w:type="dxa"/>
            <w:tcBorders>
              <w:top w:val="nil"/>
              <w:left w:val="single" w:color="auto" w:sz="4" w:space="0"/>
              <w:bottom w:val="single" w:color="auto" w:sz="4" w:space="0"/>
              <w:right w:val="single" w:color="auto" w:sz="4" w:space="0"/>
            </w:tcBorders>
          </w:tcPr>
          <w:p>
            <w:pPr>
              <w:spacing w:before="60" w:after="60" w:line="240" w:lineRule="auto"/>
              <w:ind w:left="217"/>
              <w:rPr>
                <w:rFonts w:ascii="Tahoma" w:hAnsi="Tahoma" w:cs="Tahoma"/>
                <w:color w:val="000000"/>
                <w:sz w:val="20"/>
                <w:szCs w:val="20"/>
                <w:lang w:val="id-ID"/>
              </w:rPr>
            </w:pPr>
          </w:p>
        </w:tc>
        <w:tc>
          <w:tcPr>
            <w:tcW w:w="1352" w:type="dxa"/>
            <w:tcBorders>
              <w:top w:val="nil"/>
              <w:left w:val="single" w:color="auto" w:sz="4" w:space="0"/>
              <w:bottom w:val="single" w:color="auto" w:sz="4" w:space="0"/>
              <w:right w:val="single" w:color="auto" w:sz="4" w:space="0"/>
            </w:tcBorders>
          </w:tcPr>
          <w:p>
            <w:pPr>
              <w:spacing w:before="60" w:after="60" w:line="240" w:lineRule="auto"/>
              <w:jc w:val="center"/>
              <w:rPr>
                <w:rFonts w:ascii="Tahoma" w:hAnsi="Tahoma" w:cs="Tahoma"/>
                <w:color w:val="000000"/>
                <w:sz w:val="20"/>
                <w:szCs w:val="20"/>
                <w:lang w:val="id-ID"/>
              </w:rPr>
            </w:pPr>
          </w:p>
        </w:tc>
        <w:tc>
          <w:tcPr>
            <w:tcW w:w="568" w:type="dxa"/>
            <w:tcBorders>
              <w:left w:val="single" w:color="auto" w:sz="4" w:space="0"/>
              <w:bottom w:val="single" w:color="000000"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18</w:t>
            </w:r>
          </w:p>
        </w:tc>
        <w:tc>
          <w:tcPr>
            <w:tcW w:w="4352" w:type="dxa"/>
            <w:gridSpan w:val="2"/>
            <w:tcBorders>
              <w:bottom w:val="single" w:color="000000" w:sz="4" w:space="0"/>
            </w:tcBorders>
          </w:tcPr>
          <w:p>
            <w:pPr>
              <w:spacing w:before="60" w:after="60" w:line="240" w:lineRule="auto"/>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Tatakelola Program Hibah Jalan Daerah (PHJD)</w:t>
            </w:r>
          </w:p>
        </w:tc>
        <w:tc>
          <w:tcPr>
            <w:tcW w:w="1776" w:type="dxa"/>
            <w:gridSpan w:val="2"/>
            <w:tcBorders>
              <w:bottom w:val="single" w:color="000000" w:sz="4" w:space="0"/>
            </w:tcBorders>
            <w:vAlign w:val="center"/>
          </w:tcPr>
          <w:p>
            <w:pPr>
              <w:spacing w:before="60" w:after="60" w:line="240" w:lineRule="auto"/>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180.000.000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restart"/>
            <w:tcBorders>
              <w:top w:val="single" w:color="auto" w:sz="4" w:space="0"/>
              <w:bottom w:val="single" w:color="auto"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2</w:t>
            </w:r>
          </w:p>
        </w:tc>
        <w:tc>
          <w:tcPr>
            <w:tcW w:w="2100" w:type="dxa"/>
            <w:vMerge w:val="restart"/>
            <w:tcBorders>
              <w:top w:val="single" w:color="auto" w:sz="4" w:space="0"/>
              <w:bottom w:val="single" w:color="auto" w:sz="4" w:space="0"/>
            </w:tcBorders>
          </w:tcPr>
          <w:p>
            <w:pPr>
              <w:spacing w:before="60" w:after="60" w:line="240" w:lineRule="auto"/>
              <w:rPr>
                <w:rFonts w:ascii="Tahoma" w:hAnsi="Tahoma" w:cs="Tahoma"/>
                <w:color w:val="000000"/>
                <w:sz w:val="20"/>
                <w:szCs w:val="20"/>
                <w:lang w:val="id-ID"/>
              </w:rPr>
            </w:pPr>
            <w:r>
              <w:rPr>
                <w:rFonts w:ascii="Tahoma" w:hAnsi="Tahoma" w:cs="Tahoma"/>
                <w:color w:val="000000"/>
                <w:sz w:val="20"/>
                <w:szCs w:val="20"/>
                <w:lang w:val="id-ID"/>
              </w:rPr>
              <w:t>Meningkatnya Kualitas APBD Kab/Kota</w:t>
            </w:r>
          </w:p>
        </w:tc>
        <w:tc>
          <w:tcPr>
            <w:tcW w:w="2590" w:type="dxa"/>
            <w:vMerge w:val="restart"/>
            <w:tcBorders>
              <w:top w:val="single" w:color="auto" w:sz="4" w:space="0"/>
              <w:bottom w:val="single" w:color="auto" w:sz="4" w:space="0"/>
            </w:tcBorders>
          </w:tcPr>
          <w:p>
            <w:pPr>
              <w:spacing w:before="60" w:after="60" w:line="240" w:lineRule="auto"/>
              <w:rPr>
                <w:rFonts w:ascii="Tahoma" w:hAnsi="Tahoma" w:cs="Tahoma"/>
                <w:color w:val="000000"/>
                <w:sz w:val="20"/>
                <w:szCs w:val="20"/>
                <w:lang w:val="id-ID"/>
              </w:rPr>
            </w:pPr>
            <w:r>
              <w:rPr>
                <w:rFonts w:ascii="Tahoma" w:hAnsi="Tahoma" w:cs="Tahoma"/>
                <w:color w:val="000000"/>
                <w:sz w:val="20"/>
                <w:szCs w:val="20"/>
                <w:lang w:val="id-ID"/>
              </w:rPr>
              <w:t>Persentase Kab/Kota dengan Opini WTP</w:t>
            </w:r>
          </w:p>
          <w:p>
            <w:pPr>
              <w:spacing w:before="60" w:after="60" w:line="240" w:lineRule="auto"/>
              <w:ind w:left="218"/>
              <w:rPr>
                <w:rFonts w:ascii="Tahoma" w:hAnsi="Tahoma" w:cs="Tahoma"/>
                <w:color w:val="000000"/>
                <w:sz w:val="20"/>
                <w:szCs w:val="20"/>
                <w:lang w:val="id-ID"/>
              </w:rPr>
            </w:pPr>
          </w:p>
          <w:p>
            <w:pPr>
              <w:spacing w:before="60" w:after="60" w:line="240" w:lineRule="auto"/>
              <w:ind w:left="218"/>
              <w:rPr>
                <w:rFonts w:ascii="Tahoma" w:hAnsi="Tahoma" w:cs="Tahoma"/>
                <w:color w:val="000000"/>
                <w:sz w:val="20"/>
                <w:szCs w:val="20"/>
                <w:lang w:val="id-ID"/>
              </w:rPr>
            </w:pPr>
          </w:p>
        </w:tc>
        <w:tc>
          <w:tcPr>
            <w:tcW w:w="1352" w:type="dxa"/>
            <w:vMerge w:val="restart"/>
            <w:tcBorders>
              <w:top w:val="single" w:color="auto" w:sz="4" w:space="0"/>
              <w:bottom w:val="single" w:color="auto" w:sz="4" w:space="0"/>
            </w:tcBorders>
          </w:tcPr>
          <w:p>
            <w:pPr>
              <w:spacing w:before="60" w:after="60" w:line="240" w:lineRule="auto"/>
              <w:jc w:val="center"/>
              <w:rPr>
                <w:rFonts w:ascii="Tahoma" w:hAnsi="Tahoma" w:cs="Tahoma"/>
                <w:color w:val="000000"/>
                <w:sz w:val="20"/>
                <w:szCs w:val="20"/>
                <w:lang w:val="id-ID"/>
              </w:rPr>
            </w:pPr>
            <w:r>
              <w:rPr>
                <w:rFonts w:ascii="Tahoma" w:hAnsi="Tahoma" w:cs="Tahoma"/>
                <w:color w:val="000000"/>
                <w:sz w:val="20"/>
                <w:szCs w:val="20"/>
                <w:lang w:val="id-ID"/>
              </w:rPr>
              <w:t>100</w:t>
            </w:r>
          </w:p>
        </w:tc>
        <w:tc>
          <w:tcPr>
            <w:tcW w:w="6696" w:type="dxa"/>
            <w:gridSpan w:val="5"/>
            <w:tcBorders>
              <w:bottom w:val="single" w:color="000000" w:sz="4" w:space="0"/>
            </w:tcBorders>
          </w:tcPr>
          <w:p>
            <w:pPr>
              <w:spacing w:before="60" w:after="60" w:line="240" w:lineRule="auto"/>
              <w:ind w:left="528"/>
              <w:rPr>
                <w:rFonts w:ascii="Tahoma" w:hAnsi="Tahoma" w:cs="Tahoma"/>
                <w:color w:val="000000" w:themeColor="text1"/>
                <w:sz w:val="20"/>
                <w:szCs w:val="20"/>
                <w14:textFill>
                  <w14:solidFill>
                    <w14:schemeClr w14:val="tx1"/>
                  </w14:solidFill>
                </w14:textFill>
              </w:rPr>
            </w:pPr>
            <w:r>
              <w:rPr>
                <w:rFonts w:ascii="Tahoma" w:hAnsi="Tahoma" w:cs="Tahoma"/>
                <w:b/>
                <w:color w:val="000000"/>
                <w:sz w:val="20"/>
                <w:szCs w:val="20"/>
                <w:lang w:val="id-ID"/>
              </w:rPr>
              <w:t>PROGRAM PEMBINAAN DAN FASILITASI PENGELOLAAN KEUANGAN KABUPATEN/KOTA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continue"/>
            <w:tcBorders>
              <w:top w:val="single" w:color="auto" w:sz="4" w:space="0"/>
              <w:bottom w:val="single" w:color="auto" w:sz="4" w:space="0"/>
            </w:tcBorders>
          </w:tcPr>
          <w:p>
            <w:pPr>
              <w:spacing w:before="60" w:after="60" w:line="240" w:lineRule="auto"/>
              <w:jc w:val="center"/>
              <w:rPr>
                <w:rFonts w:ascii="Tahoma" w:hAnsi="Tahoma" w:cs="Tahoma"/>
                <w:color w:val="000000"/>
                <w:sz w:val="20"/>
                <w:szCs w:val="20"/>
                <w:lang w:val="id-ID"/>
              </w:rPr>
            </w:pPr>
          </w:p>
        </w:tc>
        <w:tc>
          <w:tcPr>
            <w:tcW w:w="2100" w:type="dxa"/>
            <w:vMerge w:val="continue"/>
            <w:tcBorders>
              <w:top w:val="single" w:color="auto" w:sz="4" w:space="0"/>
              <w:bottom w:val="single" w:color="auto" w:sz="4" w:space="0"/>
            </w:tcBorders>
          </w:tcPr>
          <w:p>
            <w:pPr>
              <w:spacing w:before="60" w:after="60" w:line="240" w:lineRule="auto"/>
              <w:rPr>
                <w:rFonts w:ascii="Tahoma" w:hAnsi="Tahoma" w:cs="Tahoma"/>
                <w:color w:val="000000"/>
                <w:sz w:val="20"/>
                <w:szCs w:val="20"/>
                <w:lang w:val="id-ID"/>
              </w:rPr>
            </w:pPr>
          </w:p>
        </w:tc>
        <w:tc>
          <w:tcPr>
            <w:tcW w:w="2590" w:type="dxa"/>
            <w:vMerge w:val="continue"/>
            <w:tcBorders>
              <w:top w:val="single" w:color="auto" w:sz="4" w:space="0"/>
              <w:bottom w:val="single" w:color="auto" w:sz="4" w:space="0"/>
            </w:tcBorders>
          </w:tcPr>
          <w:p>
            <w:pPr>
              <w:spacing w:before="60" w:after="60" w:line="240" w:lineRule="auto"/>
              <w:rPr>
                <w:rFonts w:ascii="Tahoma" w:hAnsi="Tahoma" w:cs="Tahoma"/>
                <w:color w:val="000000"/>
                <w:sz w:val="20"/>
                <w:szCs w:val="20"/>
                <w:lang w:val="id-ID"/>
              </w:rPr>
            </w:pPr>
          </w:p>
        </w:tc>
        <w:tc>
          <w:tcPr>
            <w:tcW w:w="1352" w:type="dxa"/>
            <w:vMerge w:val="continue"/>
            <w:tcBorders>
              <w:top w:val="single" w:color="auto" w:sz="4" w:space="0"/>
              <w:bottom w:val="single" w:color="auto" w:sz="4" w:space="0"/>
            </w:tcBorders>
          </w:tcPr>
          <w:p>
            <w:pPr>
              <w:spacing w:before="60" w:after="60" w:line="240" w:lineRule="auto"/>
              <w:jc w:val="center"/>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1</w:t>
            </w:r>
          </w:p>
        </w:tc>
        <w:tc>
          <w:tcPr>
            <w:tcW w:w="4352" w:type="dxa"/>
            <w:gridSpan w:val="2"/>
            <w:tcBorders>
              <w:bottom w:val="single" w:color="000000" w:sz="4" w:space="0"/>
            </w:tcBorders>
            <w:vAlign w:val="center"/>
          </w:tcPr>
          <w:p>
            <w:pPr>
              <w:spacing w:before="60" w:after="60" w:line="240" w:lineRule="auto"/>
              <w:rPr>
                <w:rFonts w:ascii="Tahoma" w:hAnsi="Tahoma" w:cs="Tahoma"/>
                <w:bCs/>
                <w:sz w:val="20"/>
                <w:szCs w:val="20"/>
                <w:lang w:val="id-ID"/>
              </w:rPr>
            </w:pPr>
            <w:r>
              <w:rPr>
                <w:rFonts w:ascii="Tahoma" w:hAnsi="Tahoma" w:cs="Tahoma"/>
                <w:bCs/>
                <w:sz w:val="20"/>
                <w:szCs w:val="20"/>
                <w:lang w:val="id-ID"/>
              </w:rPr>
              <w:t xml:space="preserve">Evaluasi </w:t>
            </w:r>
            <w:r>
              <w:rPr>
                <w:rFonts w:ascii="Tahoma" w:hAnsi="Tahoma" w:cs="Tahoma"/>
                <w:bCs/>
                <w:sz w:val="20"/>
                <w:szCs w:val="20"/>
              </w:rPr>
              <w:t xml:space="preserve">Rancangan Perda tentang </w:t>
            </w:r>
            <w:r>
              <w:rPr>
                <w:rFonts w:ascii="Tahoma" w:hAnsi="Tahoma" w:cs="Tahoma"/>
                <w:bCs/>
                <w:sz w:val="20"/>
                <w:szCs w:val="20"/>
                <w:lang w:val="id-ID"/>
              </w:rPr>
              <w:t xml:space="preserve">APBD, Perubahan APBD dan Pertanggungjawaban </w:t>
            </w:r>
            <w:r>
              <w:rPr>
                <w:rFonts w:ascii="Tahoma" w:hAnsi="Tahoma" w:cs="Tahoma"/>
                <w:bCs/>
                <w:sz w:val="20"/>
                <w:szCs w:val="20"/>
              </w:rPr>
              <w:t xml:space="preserve">Pelaksanaan </w:t>
            </w:r>
            <w:r>
              <w:rPr>
                <w:rFonts w:ascii="Tahoma" w:hAnsi="Tahoma" w:cs="Tahoma"/>
                <w:bCs/>
                <w:sz w:val="20"/>
                <w:szCs w:val="20"/>
                <w:lang w:val="id-ID"/>
              </w:rPr>
              <w:t xml:space="preserve">APBD </w:t>
            </w:r>
            <w:r>
              <w:rPr>
                <w:rFonts w:ascii="Tahoma" w:hAnsi="Tahoma" w:cs="Tahoma"/>
                <w:bCs/>
                <w:sz w:val="20"/>
                <w:szCs w:val="20"/>
              </w:rPr>
              <w:t xml:space="preserve">serta Rancangan Perbup/Perwako tentang Penjabaran APBD, Perubahan APBD dan Pertanggungjawaban Pelaksanaan APBD </w:t>
            </w:r>
            <w:r>
              <w:rPr>
                <w:rFonts w:ascii="Tahoma" w:hAnsi="Tahoma" w:cs="Tahoma"/>
                <w:bCs/>
                <w:sz w:val="20"/>
                <w:szCs w:val="20"/>
                <w:lang w:val="id-ID"/>
              </w:rPr>
              <w:t>Kab/Kota</w:t>
            </w:r>
          </w:p>
        </w:tc>
        <w:tc>
          <w:tcPr>
            <w:tcW w:w="1776" w:type="dxa"/>
            <w:gridSpan w:val="2"/>
            <w:tcBorders>
              <w:bottom w:val="single" w:color="000000" w:sz="4" w:space="0"/>
            </w:tcBorders>
            <w:vAlign w:val="center"/>
          </w:tcPr>
          <w:p>
            <w:pPr>
              <w:ind w:firstLine="200" w:firstLineChars="100"/>
              <w:jc w:val="right"/>
              <w:rPr>
                <w:rFonts w:ascii="Tahoma" w:hAnsi="Tahoma" w:cs="Tahoma"/>
                <w:color w:val="000000"/>
                <w:sz w:val="20"/>
                <w:szCs w:val="20"/>
              </w:rPr>
            </w:pPr>
            <w:r>
              <w:rPr>
                <w:rFonts w:ascii="Tahoma" w:hAnsi="Tahoma" w:cs="Tahoma"/>
                <w:color w:val="000000"/>
                <w:sz w:val="20"/>
                <w:szCs w:val="20"/>
              </w:rPr>
              <w:t>381.964.515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continue"/>
            <w:tcBorders>
              <w:top w:val="single" w:color="auto" w:sz="4" w:space="0"/>
              <w:bottom w:val="single" w:color="auto" w:sz="4" w:space="0"/>
            </w:tcBorders>
          </w:tcPr>
          <w:p>
            <w:pPr>
              <w:spacing w:before="60" w:after="60" w:line="240" w:lineRule="auto"/>
              <w:jc w:val="center"/>
              <w:rPr>
                <w:rFonts w:ascii="Tahoma" w:hAnsi="Tahoma" w:cs="Tahoma"/>
                <w:color w:val="000000"/>
                <w:sz w:val="20"/>
                <w:szCs w:val="20"/>
                <w:lang w:val="id-ID"/>
              </w:rPr>
            </w:pPr>
          </w:p>
        </w:tc>
        <w:tc>
          <w:tcPr>
            <w:tcW w:w="2100" w:type="dxa"/>
            <w:vMerge w:val="continue"/>
            <w:tcBorders>
              <w:top w:val="single" w:color="auto" w:sz="4" w:space="0"/>
              <w:bottom w:val="single" w:color="auto" w:sz="4" w:space="0"/>
            </w:tcBorders>
          </w:tcPr>
          <w:p>
            <w:pPr>
              <w:spacing w:before="60" w:after="60" w:line="240" w:lineRule="auto"/>
              <w:rPr>
                <w:rFonts w:ascii="Tahoma" w:hAnsi="Tahoma" w:cs="Tahoma"/>
                <w:color w:val="000000"/>
                <w:sz w:val="20"/>
                <w:szCs w:val="20"/>
                <w:lang w:val="id-ID"/>
              </w:rPr>
            </w:pPr>
          </w:p>
        </w:tc>
        <w:tc>
          <w:tcPr>
            <w:tcW w:w="2590" w:type="dxa"/>
            <w:vMerge w:val="continue"/>
            <w:tcBorders>
              <w:top w:val="single" w:color="auto" w:sz="4" w:space="0"/>
              <w:bottom w:val="single" w:color="auto" w:sz="4" w:space="0"/>
            </w:tcBorders>
          </w:tcPr>
          <w:p>
            <w:pPr>
              <w:spacing w:before="60" w:after="60" w:line="240" w:lineRule="auto"/>
              <w:rPr>
                <w:rFonts w:ascii="Tahoma" w:hAnsi="Tahoma" w:cs="Tahoma"/>
                <w:color w:val="000000"/>
                <w:sz w:val="20"/>
                <w:szCs w:val="20"/>
                <w:lang w:val="id-ID"/>
              </w:rPr>
            </w:pPr>
          </w:p>
        </w:tc>
        <w:tc>
          <w:tcPr>
            <w:tcW w:w="1352" w:type="dxa"/>
            <w:vMerge w:val="continue"/>
            <w:tcBorders>
              <w:top w:val="single" w:color="auto" w:sz="4" w:space="0"/>
              <w:bottom w:val="single" w:color="auto" w:sz="4" w:space="0"/>
            </w:tcBorders>
          </w:tcPr>
          <w:p>
            <w:pPr>
              <w:spacing w:before="60" w:after="60" w:line="240" w:lineRule="auto"/>
              <w:jc w:val="center"/>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lang w:val="id-ID"/>
              </w:rPr>
            </w:pPr>
            <w:r>
              <w:rPr>
                <w:rFonts w:ascii="Tahoma" w:hAnsi="Tahoma" w:cs="Tahoma"/>
                <w:color w:val="000000"/>
                <w:sz w:val="20"/>
                <w:szCs w:val="20"/>
              </w:rPr>
              <w:t>2</w:t>
            </w:r>
          </w:p>
        </w:tc>
        <w:tc>
          <w:tcPr>
            <w:tcW w:w="4352" w:type="dxa"/>
            <w:gridSpan w:val="2"/>
            <w:tcBorders>
              <w:bottom w:val="single" w:color="000000" w:sz="4" w:space="0"/>
            </w:tcBorders>
            <w:vAlign w:val="center"/>
          </w:tcPr>
          <w:p>
            <w:pPr>
              <w:spacing w:before="60" w:after="60" w:line="240" w:lineRule="auto"/>
              <w:rPr>
                <w:rFonts w:ascii="Tahoma" w:hAnsi="Tahoma" w:cs="Tahoma"/>
                <w:color w:val="000000"/>
                <w:sz w:val="20"/>
                <w:szCs w:val="20"/>
                <w:lang w:val="id-ID"/>
              </w:rPr>
            </w:pPr>
            <w:r>
              <w:rPr>
                <w:rFonts w:ascii="Tahoma" w:hAnsi="Tahoma" w:cs="Tahoma"/>
                <w:color w:val="000000"/>
                <w:sz w:val="20"/>
                <w:szCs w:val="20"/>
                <w:lang w:val="id-ID"/>
              </w:rPr>
              <w:t>Rapat Koordinasi Pengelola</w:t>
            </w:r>
            <w:r>
              <w:rPr>
                <w:rFonts w:ascii="Tahoma" w:hAnsi="Tahoma" w:cs="Tahoma"/>
                <w:color w:val="000000"/>
                <w:sz w:val="20"/>
                <w:szCs w:val="20"/>
              </w:rPr>
              <w:t>an</w:t>
            </w:r>
            <w:r>
              <w:rPr>
                <w:rFonts w:ascii="Tahoma" w:hAnsi="Tahoma" w:cs="Tahoma"/>
                <w:color w:val="000000"/>
                <w:sz w:val="20"/>
                <w:szCs w:val="20"/>
                <w:lang w:val="id-ID"/>
              </w:rPr>
              <w:t xml:space="preserve"> Keuangan Daerah se Sumatera Barat</w:t>
            </w:r>
          </w:p>
        </w:tc>
        <w:tc>
          <w:tcPr>
            <w:tcW w:w="1776" w:type="dxa"/>
            <w:gridSpan w:val="2"/>
            <w:tcBorders>
              <w:bottom w:val="single" w:color="000000" w:sz="4" w:space="0"/>
            </w:tcBorders>
            <w:vAlign w:val="center"/>
          </w:tcPr>
          <w:p>
            <w:pPr>
              <w:spacing w:beforeLines="50"/>
              <w:ind w:firstLine="200" w:firstLineChars="100"/>
              <w:jc w:val="right"/>
              <w:rPr>
                <w:rFonts w:ascii="Tahoma" w:hAnsi="Tahoma" w:cs="Tahoma"/>
                <w:color w:val="000000"/>
                <w:sz w:val="20"/>
                <w:szCs w:val="20"/>
              </w:rPr>
            </w:pPr>
            <w:r>
              <w:rPr>
                <w:rFonts w:ascii="Tahoma" w:hAnsi="Tahoma" w:cs="Tahoma"/>
                <w:color w:val="000000"/>
                <w:sz w:val="20"/>
                <w:szCs w:val="20"/>
              </w:rPr>
              <w:t>26.225.900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continue"/>
            <w:tcBorders>
              <w:top w:val="single" w:color="auto" w:sz="4" w:space="0"/>
              <w:bottom w:val="single" w:color="auto" w:sz="4" w:space="0"/>
            </w:tcBorders>
          </w:tcPr>
          <w:p>
            <w:pPr>
              <w:spacing w:before="60" w:after="60" w:line="240" w:lineRule="auto"/>
              <w:jc w:val="center"/>
              <w:rPr>
                <w:rFonts w:ascii="Tahoma" w:hAnsi="Tahoma" w:cs="Tahoma"/>
                <w:color w:val="000000"/>
                <w:sz w:val="20"/>
                <w:szCs w:val="20"/>
                <w:lang w:val="id-ID"/>
              </w:rPr>
            </w:pPr>
          </w:p>
        </w:tc>
        <w:tc>
          <w:tcPr>
            <w:tcW w:w="2100" w:type="dxa"/>
            <w:vMerge w:val="continue"/>
            <w:tcBorders>
              <w:top w:val="single" w:color="auto" w:sz="4" w:space="0"/>
              <w:bottom w:val="single" w:color="auto" w:sz="4" w:space="0"/>
            </w:tcBorders>
          </w:tcPr>
          <w:p>
            <w:pPr>
              <w:spacing w:before="60" w:after="60" w:line="240" w:lineRule="auto"/>
              <w:rPr>
                <w:rFonts w:ascii="Tahoma" w:hAnsi="Tahoma" w:cs="Tahoma"/>
                <w:color w:val="000000"/>
                <w:sz w:val="20"/>
                <w:szCs w:val="20"/>
                <w:lang w:val="id-ID"/>
              </w:rPr>
            </w:pPr>
          </w:p>
        </w:tc>
        <w:tc>
          <w:tcPr>
            <w:tcW w:w="2590" w:type="dxa"/>
            <w:vMerge w:val="continue"/>
            <w:tcBorders>
              <w:top w:val="single" w:color="auto" w:sz="4" w:space="0"/>
              <w:bottom w:val="single" w:color="auto" w:sz="4" w:space="0"/>
            </w:tcBorders>
          </w:tcPr>
          <w:p>
            <w:pPr>
              <w:spacing w:before="60" w:after="60" w:line="240" w:lineRule="auto"/>
              <w:ind w:left="218"/>
              <w:rPr>
                <w:rFonts w:ascii="Tahoma" w:hAnsi="Tahoma" w:cs="Tahoma"/>
                <w:color w:val="000000"/>
                <w:sz w:val="20"/>
                <w:szCs w:val="20"/>
                <w:lang w:val="id-ID"/>
              </w:rPr>
            </w:pPr>
          </w:p>
        </w:tc>
        <w:tc>
          <w:tcPr>
            <w:tcW w:w="1352" w:type="dxa"/>
            <w:vMerge w:val="continue"/>
            <w:tcBorders>
              <w:top w:val="single" w:color="auto" w:sz="4" w:space="0"/>
              <w:bottom w:val="single" w:color="auto" w:sz="4" w:space="0"/>
            </w:tcBorders>
          </w:tcPr>
          <w:p>
            <w:pPr>
              <w:spacing w:before="60" w:after="60" w:line="240" w:lineRule="auto"/>
              <w:jc w:val="center"/>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lang w:val="id-ID"/>
              </w:rPr>
            </w:pPr>
            <w:r>
              <w:rPr>
                <w:rFonts w:ascii="Tahoma" w:hAnsi="Tahoma" w:cs="Tahoma"/>
                <w:color w:val="000000"/>
                <w:sz w:val="20"/>
                <w:szCs w:val="20"/>
              </w:rPr>
              <w:t>3</w:t>
            </w:r>
          </w:p>
        </w:tc>
        <w:tc>
          <w:tcPr>
            <w:tcW w:w="4352" w:type="dxa"/>
            <w:gridSpan w:val="2"/>
            <w:tcBorders>
              <w:bottom w:val="single" w:color="000000" w:sz="4" w:space="0"/>
            </w:tcBorders>
            <w:vAlign w:val="center"/>
          </w:tcPr>
          <w:p>
            <w:pPr>
              <w:spacing w:before="60" w:after="60" w:line="240" w:lineRule="auto"/>
              <w:rPr>
                <w:rFonts w:ascii="Tahoma" w:hAnsi="Tahoma" w:cs="Tahoma"/>
                <w:color w:val="000000"/>
                <w:sz w:val="20"/>
                <w:szCs w:val="20"/>
                <w:lang w:val="id-ID"/>
              </w:rPr>
            </w:pPr>
            <w:r>
              <w:rPr>
                <w:rFonts w:ascii="Tahoma" w:hAnsi="Tahoma" w:cs="Tahoma"/>
                <w:color w:val="000000"/>
                <w:sz w:val="20"/>
                <w:szCs w:val="20"/>
                <w:lang w:val="id-ID"/>
              </w:rPr>
              <w:t>Sosialisasi Peraturan Perundang-undangan tentang Pengelolaan Keuangan Daerah kepada Kabupaten/Kota</w:t>
            </w:r>
          </w:p>
        </w:tc>
        <w:tc>
          <w:tcPr>
            <w:tcW w:w="1776" w:type="dxa"/>
            <w:gridSpan w:val="2"/>
            <w:tcBorders>
              <w:bottom w:val="single" w:color="000000" w:sz="4" w:space="0"/>
            </w:tcBorders>
            <w:vAlign w:val="center"/>
          </w:tcPr>
          <w:p>
            <w:pPr>
              <w:ind w:firstLine="200" w:firstLineChars="100"/>
              <w:jc w:val="right"/>
              <w:rPr>
                <w:rFonts w:ascii="Tahoma" w:hAnsi="Tahoma" w:cs="Tahoma"/>
                <w:color w:val="000000"/>
                <w:sz w:val="20"/>
                <w:szCs w:val="20"/>
              </w:rPr>
            </w:pPr>
            <w:r>
              <w:rPr>
                <w:rFonts w:ascii="Tahoma" w:hAnsi="Tahoma" w:cs="Tahoma"/>
                <w:color w:val="000000"/>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continue"/>
            <w:tcBorders>
              <w:top w:val="single" w:color="auto" w:sz="4" w:space="0"/>
              <w:bottom w:val="single" w:color="auto" w:sz="4" w:space="0"/>
            </w:tcBorders>
          </w:tcPr>
          <w:p>
            <w:pPr>
              <w:spacing w:before="60" w:after="60" w:line="240" w:lineRule="auto"/>
              <w:jc w:val="center"/>
              <w:rPr>
                <w:rFonts w:ascii="Tahoma" w:hAnsi="Tahoma" w:cs="Tahoma"/>
                <w:color w:val="000000"/>
                <w:sz w:val="20"/>
                <w:szCs w:val="20"/>
                <w:lang w:val="id-ID"/>
              </w:rPr>
            </w:pPr>
          </w:p>
        </w:tc>
        <w:tc>
          <w:tcPr>
            <w:tcW w:w="2100" w:type="dxa"/>
            <w:vMerge w:val="continue"/>
            <w:tcBorders>
              <w:top w:val="single" w:color="auto" w:sz="4" w:space="0"/>
              <w:bottom w:val="single" w:color="auto" w:sz="4" w:space="0"/>
            </w:tcBorders>
          </w:tcPr>
          <w:p>
            <w:pPr>
              <w:spacing w:before="60" w:after="60" w:line="240" w:lineRule="auto"/>
              <w:rPr>
                <w:rFonts w:ascii="Tahoma" w:hAnsi="Tahoma" w:cs="Tahoma"/>
                <w:color w:val="000000"/>
                <w:sz w:val="20"/>
                <w:szCs w:val="20"/>
                <w:lang w:val="id-ID"/>
              </w:rPr>
            </w:pPr>
          </w:p>
        </w:tc>
        <w:tc>
          <w:tcPr>
            <w:tcW w:w="2590" w:type="dxa"/>
            <w:vMerge w:val="continue"/>
            <w:tcBorders>
              <w:top w:val="single" w:color="auto" w:sz="4" w:space="0"/>
              <w:bottom w:val="single" w:color="auto" w:sz="4" w:space="0"/>
            </w:tcBorders>
          </w:tcPr>
          <w:p>
            <w:pPr>
              <w:spacing w:before="60" w:after="60" w:line="240" w:lineRule="auto"/>
              <w:ind w:left="218"/>
              <w:rPr>
                <w:rFonts w:ascii="Tahoma" w:hAnsi="Tahoma" w:cs="Tahoma"/>
                <w:color w:val="000000"/>
                <w:sz w:val="20"/>
                <w:szCs w:val="20"/>
                <w:lang w:val="id-ID"/>
              </w:rPr>
            </w:pPr>
          </w:p>
        </w:tc>
        <w:tc>
          <w:tcPr>
            <w:tcW w:w="1352" w:type="dxa"/>
            <w:vMerge w:val="continue"/>
            <w:tcBorders>
              <w:top w:val="single" w:color="auto" w:sz="4" w:space="0"/>
              <w:bottom w:val="single" w:color="auto" w:sz="4" w:space="0"/>
            </w:tcBorders>
          </w:tcPr>
          <w:p>
            <w:pPr>
              <w:spacing w:before="60" w:after="60" w:line="240" w:lineRule="auto"/>
              <w:jc w:val="center"/>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lang w:val="id-ID"/>
              </w:rPr>
            </w:pPr>
            <w:r>
              <w:rPr>
                <w:rFonts w:ascii="Tahoma" w:hAnsi="Tahoma" w:cs="Tahoma"/>
                <w:color w:val="000000"/>
                <w:sz w:val="20"/>
                <w:szCs w:val="20"/>
                <w:lang w:val="id-ID"/>
              </w:rPr>
              <w:t>4</w:t>
            </w:r>
          </w:p>
        </w:tc>
        <w:tc>
          <w:tcPr>
            <w:tcW w:w="4352" w:type="dxa"/>
            <w:gridSpan w:val="2"/>
            <w:tcBorders>
              <w:bottom w:val="single" w:color="000000" w:sz="4" w:space="0"/>
            </w:tcBorders>
          </w:tcPr>
          <w:p>
            <w:pPr>
              <w:spacing w:before="60" w:after="60" w:line="240" w:lineRule="auto"/>
              <w:jc w:val="both"/>
              <w:rPr>
                <w:rFonts w:ascii="Tahoma" w:hAnsi="Tahoma" w:cs="Tahoma"/>
                <w:color w:val="000000"/>
                <w:sz w:val="20"/>
                <w:szCs w:val="20"/>
                <w:lang w:val="id-ID"/>
              </w:rPr>
            </w:pPr>
            <w:r>
              <w:rPr>
                <w:rFonts w:ascii="Tahoma" w:hAnsi="Tahoma" w:cs="Tahoma"/>
                <w:color w:val="000000"/>
                <w:sz w:val="20"/>
                <w:szCs w:val="20"/>
                <w:lang w:val="id-ID"/>
              </w:rPr>
              <w:t xml:space="preserve">Rekapitulasi dan Rekonsiliasi </w:t>
            </w:r>
            <w:r>
              <w:rPr>
                <w:rFonts w:ascii="Tahoma" w:hAnsi="Tahoma" w:cs="Tahoma"/>
                <w:color w:val="000000"/>
                <w:sz w:val="20"/>
                <w:szCs w:val="20"/>
              </w:rPr>
              <w:t>D</w:t>
            </w:r>
            <w:r>
              <w:rPr>
                <w:rFonts w:ascii="Tahoma" w:hAnsi="Tahoma" w:cs="Tahoma"/>
                <w:color w:val="000000"/>
                <w:sz w:val="20"/>
                <w:szCs w:val="20"/>
                <w:lang w:val="id-ID"/>
              </w:rPr>
              <w:t>ata APBD Kab/Kota</w:t>
            </w:r>
          </w:p>
        </w:tc>
        <w:tc>
          <w:tcPr>
            <w:tcW w:w="1776" w:type="dxa"/>
            <w:gridSpan w:val="2"/>
            <w:tcBorders>
              <w:bottom w:val="single" w:color="000000" w:sz="4" w:space="0"/>
            </w:tcBorders>
            <w:vAlign w:val="center"/>
          </w:tcPr>
          <w:p>
            <w:pPr>
              <w:ind w:firstLine="200" w:firstLineChars="100"/>
              <w:jc w:val="right"/>
              <w:rPr>
                <w:rFonts w:ascii="Tahoma" w:hAnsi="Tahoma" w:cs="Tahoma"/>
                <w:color w:val="000000"/>
                <w:sz w:val="20"/>
                <w:szCs w:val="20"/>
              </w:rPr>
            </w:pPr>
            <w:r>
              <w:rPr>
                <w:rFonts w:ascii="Tahoma" w:hAnsi="Tahoma" w:cs="Tahoma"/>
                <w:color w:val="000000"/>
                <w:sz w:val="20"/>
                <w:szCs w:val="20"/>
              </w:rPr>
              <w:t>9.047.400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trPr>
        <w:tc>
          <w:tcPr>
            <w:tcW w:w="522" w:type="dxa"/>
            <w:vMerge w:val="restart"/>
            <w:tcBorders>
              <w:top w:val="single" w:color="auto" w:sz="4" w:space="0"/>
              <w:bottom w:val="single" w:color="auto"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3</w:t>
            </w:r>
          </w:p>
        </w:tc>
        <w:tc>
          <w:tcPr>
            <w:tcW w:w="2100" w:type="dxa"/>
            <w:vMerge w:val="restart"/>
            <w:tcBorders>
              <w:top w:val="single" w:color="auto" w:sz="4" w:space="0"/>
              <w:bottom w:val="single" w:color="auto" w:sz="4" w:space="0"/>
            </w:tcBorders>
          </w:tcPr>
          <w:p>
            <w:pPr>
              <w:spacing w:before="60" w:after="60" w:line="240" w:lineRule="auto"/>
              <w:rPr>
                <w:rFonts w:ascii="Tahoma" w:hAnsi="Tahoma" w:cs="Tahoma"/>
                <w:color w:val="000000"/>
                <w:sz w:val="20"/>
                <w:szCs w:val="20"/>
                <w:lang w:val="id-ID"/>
              </w:rPr>
            </w:pPr>
            <w:r>
              <w:rPr>
                <w:rFonts w:ascii="Tahoma" w:hAnsi="Tahoma" w:cs="Tahoma"/>
                <w:color w:val="000000"/>
                <w:sz w:val="20"/>
                <w:szCs w:val="20"/>
                <w:lang w:val="id-ID"/>
              </w:rPr>
              <w:t>Meningkatnya Kualitas Pelayanan Publik</w:t>
            </w:r>
          </w:p>
        </w:tc>
        <w:tc>
          <w:tcPr>
            <w:tcW w:w="2590" w:type="dxa"/>
            <w:vMerge w:val="restart"/>
            <w:tcBorders>
              <w:top w:val="single" w:color="auto" w:sz="4" w:space="0"/>
              <w:bottom w:val="single" w:color="auto" w:sz="4" w:space="0"/>
            </w:tcBorders>
          </w:tcPr>
          <w:p>
            <w:pPr>
              <w:spacing w:before="60" w:after="60" w:line="240" w:lineRule="auto"/>
              <w:rPr>
                <w:rFonts w:ascii="Tahoma" w:hAnsi="Tahoma" w:cs="Tahoma"/>
                <w:color w:val="000000"/>
                <w:sz w:val="20"/>
                <w:szCs w:val="20"/>
                <w:lang w:val="id-ID"/>
              </w:rPr>
            </w:pPr>
            <w:r>
              <w:rPr>
                <w:rFonts w:ascii="Tahoma" w:hAnsi="Tahoma" w:cs="Tahoma"/>
                <w:color w:val="000000"/>
                <w:sz w:val="20"/>
                <w:szCs w:val="20"/>
                <w:lang w:val="id-ID"/>
              </w:rPr>
              <w:t>Indeks Kepuasan Masyarakat</w:t>
            </w:r>
          </w:p>
        </w:tc>
        <w:tc>
          <w:tcPr>
            <w:tcW w:w="1352" w:type="dxa"/>
            <w:vMerge w:val="restart"/>
            <w:tcBorders>
              <w:top w:val="single" w:color="auto" w:sz="4" w:space="0"/>
              <w:bottom w:val="single" w:color="auto" w:sz="4" w:space="0"/>
            </w:tcBorders>
          </w:tcPr>
          <w:p>
            <w:pPr>
              <w:spacing w:before="60" w:after="60" w:line="240" w:lineRule="auto"/>
              <w:jc w:val="center"/>
              <w:rPr>
                <w:rFonts w:ascii="Tahoma" w:hAnsi="Tahoma" w:cs="Tahoma"/>
                <w:color w:val="000000"/>
                <w:sz w:val="20"/>
                <w:szCs w:val="20"/>
                <w:lang w:val="id-ID"/>
              </w:rPr>
            </w:pPr>
            <w:r>
              <w:rPr>
                <w:rFonts w:ascii="Tahoma" w:hAnsi="Tahoma" w:cs="Tahoma"/>
                <w:color w:val="000000"/>
                <w:sz w:val="20"/>
                <w:szCs w:val="20"/>
                <w:lang w:val="id-ID"/>
              </w:rPr>
              <w:t>Baik</w:t>
            </w:r>
          </w:p>
        </w:tc>
        <w:tc>
          <w:tcPr>
            <w:tcW w:w="6696" w:type="dxa"/>
            <w:gridSpan w:val="5"/>
            <w:tcBorders>
              <w:bottom w:val="single" w:color="000000" w:sz="4" w:space="0"/>
            </w:tcBorders>
            <w:vAlign w:val="bottom"/>
          </w:tcPr>
          <w:p>
            <w:pPr>
              <w:ind w:left="528" w:firstLine="200" w:firstLineChars="100"/>
              <w:jc w:val="both"/>
              <w:rPr>
                <w:rFonts w:ascii="Tahoma" w:hAnsi="Tahoma" w:cs="Tahoma"/>
                <w:color w:val="000000"/>
                <w:sz w:val="20"/>
                <w:szCs w:val="20"/>
                <w:lang w:val="id-ID"/>
              </w:rPr>
            </w:pPr>
            <w:r>
              <w:rPr>
                <w:rFonts w:ascii="Tahoma" w:hAnsi="Tahoma" w:cs="Tahoma"/>
                <w:b/>
                <w:color w:val="000000"/>
                <w:sz w:val="20"/>
                <w:szCs w:val="20"/>
                <w:lang w:val="id-ID"/>
              </w:rPr>
              <w:t>PROGRAM PENINGKATAN PELAYANAN PUBLIK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22" w:type="dxa"/>
            <w:vMerge w:val="continue"/>
            <w:tcBorders>
              <w:top w:val="single" w:color="auto" w:sz="4" w:space="0"/>
              <w:bottom w:val="single" w:color="auto" w:sz="4" w:space="0"/>
            </w:tcBorders>
          </w:tcPr>
          <w:p>
            <w:pPr>
              <w:spacing w:before="60" w:after="60" w:line="240" w:lineRule="auto"/>
              <w:jc w:val="center"/>
              <w:rPr>
                <w:rFonts w:ascii="Tahoma" w:hAnsi="Tahoma" w:cs="Tahoma"/>
                <w:color w:val="000000"/>
                <w:sz w:val="20"/>
                <w:szCs w:val="20"/>
                <w:lang w:val="id-ID"/>
              </w:rPr>
            </w:pPr>
          </w:p>
        </w:tc>
        <w:tc>
          <w:tcPr>
            <w:tcW w:w="2100" w:type="dxa"/>
            <w:vMerge w:val="continue"/>
            <w:tcBorders>
              <w:top w:val="single" w:color="auto" w:sz="4" w:space="0"/>
              <w:bottom w:val="single" w:color="auto" w:sz="4" w:space="0"/>
            </w:tcBorders>
          </w:tcPr>
          <w:p>
            <w:pPr>
              <w:spacing w:before="60" w:after="60" w:line="240" w:lineRule="auto"/>
              <w:rPr>
                <w:rFonts w:ascii="Tahoma" w:hAnsi="Tahoma" w:cs="Tahoma"/>
                <w:color w:val="000000"/>
                <w:sz w:val="20"/>
                <w:szCs w:val="20"/>
                <w:lang w:val="id-ID"/>
              </w:rPr>
            </w:pPr>
          </w:p>
        </w:tc>
        <w:tc>
          <w:tcPr>
            <w:tcW w:w="2590" w:type="dxa"/>
            <w:vMerge w:val="continue"/>
            <w:tcBorders>
              <w:top w:val="single" w:color="auto" w:sz="4" w:space="0"/>
              <w:bottom w:val="single" w:color="auto" w:sz="4" w:space="0"/>
            </w:tcBorders>
          </w:tcPr>
          <w:p>
            <w:pPr>
              <w:spacing w:before="60" w:after="60" w:line="240" w:lineRule="auto"/>
              <w:rPr>
                <w:rFonts w:ascii="Tahoma" w:hAnsi="Tahoma" w:cs="Tahoma"/>
                <w:color w:val="000000"/>
                <w:sz w:val="20"/>
                <w:szCs w:val="20"/>
                <w:lang w:val="id-ID"/>
              </w:rPr>
            </w:pPr>
          </w:p>
        </w:tc>
        <w:tc>
          <w:tcPr>
            <w:tcW w:w="1352" w:type="dxa"/>
            <w:vMerge w:val="continue"/>
            <w:tcBorders>
              <w:top w:val="single" w:color="auto" w:sz="4" w:space="0"/>
              <w:bottom w:val="single" w:color="auto" w:sz="4" w:space="0"/>
            </w:tcBorders>
          </w:tcPr>
          <w:p>
            <w:pPr>
              <w:spacing w:before="60" w:after="60" w:line="240" w:lineRule="auto"/>
              <w:rPr>
                <w:rFonts w:ascii="Tahoma" w:hAnsi="Tahoma" w:cs="Tahoma"/>
                <w:color w:val="00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lang w:val="id-ID"/>
              </w:rPr>
            </w:pPr>
            <w:r>
              <w:rPr>
                <w:rFonts w:ascii="Tahoma" w:hAnsi="Tahoma" w:cs="Tahoma"/>
                <w:color w:val="000000"/>
                <w:sz w:val="20"/>
                <w:szCs w:val="20"/>
                <w:lang w:val="id-ID"/>
              </w:rPr>
              <w:t>1</w:t>
            </w:r>
          </w:p>
        </w:tc>
        <w:tc>
          <w:tcPr>
            <w:tcW w:w="4352" w:type="dxa"/>
            <w:gridSpan w:val="2"/>
            <w:tcBorders>
              <w:bottom w:val="single" w:color="000000" w:sz="4" w:space="0"/>
            </w:tcBorders>
          </w:tcPr>
          <w:p>
            <w:pPr>
              <w:spacing w:before="60" w:after="60" w:line="240" w:lineRule="auto"/>
              <w:jc w:val="both"/>
              <w:rPr>
                <w:rFonts w:ascii="Tahoma" w:hAnsi="Tahoma" w:cs="Tahoma"/>
                <w:color w:val="000000"/>
                <w:sz w:val="20"/>
                <w:szCs w:val="20"/>
                <w:lang w:val="id-ID"/>
              </w:rPr>
            </w:pPr>
            <w:r>
              <w:rPr>
                <w:rFonts w:ascii="Tahoma" w:hAnsi="Tahoma" w:cs="Tahoma"/>
                <w:color w:val="000000"/>
                <w:sz w:val="20"/>
                <w:szCs w:val="20"/>
                <w:lang w:val="id-ID"/>
              </w:rPr>
              <w:t>Penilaian Pelayanan Publik</w:t>
            </w:r>
          </w:p>
        </w:tc>
        <w:tc>
          <w:tcPr>
            <w:tcW w:w="1776" w:type="dxa"/>
            <w:gridSpan w:val="2"/>
            <w:tcBorders>
              <w:bottom w:val="single" w:color="000000" w:sz="4" w:space="0"/>
            </w:tcBorders>
            <w:vAlign w:val="center"/>
          </w:tcPr>
          <w:p>
            <w:pPr>
              <w:ind w:firstLine="200" w:firstLineChars="100"/>
              <w:jc w:val="right"/>
              <w:rPr>
                <w:rFonts w:ascii="Tahoma" w:hAnsi="Tahoma" w:cs="Tahoma"/>
                <w:color w:val="000000"/>
                <w:sz w:val="20"/>
                <w:szCs w:val="20"/>
              </w:rPr>
            </w:pPr>
            <w:r>
              <w:rPr>
                <w:rFonts w:ascii="Tahoma" w:hAnsi="Tahoma" w:cs="Tahoma"/>
                <w:color w:val="000000"/>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2" w:type="dxa"/>
            <w:vMerge w:val="continue"/>
            <w:tcBorders>
              <w:top w:val="single" w:color="auto" w:sz="4" w:space="0"/>
              <w:bottom w:val="single" w:color="auto" w:sz="4" w:space="0"/>
            </w:tcBorders>
          </w:tcPr>
          <w:p>
            <w:pPr>
              <w:spacing w:before="60" w:after="60" w:line="240" w:lineRule="auto"/>
              <w:jc w:val="center"/>
              <w:rPr>
                <w:rFonts w:ascii="Tahoma" w:hAnsi="Tahoma" w:cs="Tahoma"/>
                <w:color w:val="000000"/>
                <w:sz w:val="20"/>
                <w:szCs w:val="20"/>
                <w:lang w:val="id-ID"/>
              </w:rPr>
            </w:pPr>
          </w:p>
        </w:tc>
        <w:tc>
          <w:tcPr>
            <w:tcW w:w="2100"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FF0000"/>
                <w:sz w:val="20"/>
                <w:szCs w:val="20"/>
                <w:lang w:val="id-ID"/>
              </w:rPr>
            </w:pPr>
          </w:p>
        </w:tc>
        <w:tc>
          <w:tcPr>
            <w:tcW w:w="2590"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FF0000"/>
                <w:sz w:val="20"/>
                <w:szCs w:val="20"/>
                <w:lang w:val="id-ID"/>
              </w:rPr>
            </w:pPr>
          </w:p>
        </w:tc>
        <w:tc>
          <w:tcPr>
            <w:tcW w:w="1352"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FF0000"/>
                <w:sz w:val="20"/>
                <w:szCs w:val="20"/>
                <w:lang w:val="id-ID"/>
              </w:rPr>
            </w:pPr>
          </w:p>
        </w:tc>
        <w:tc>
          <w:tcPr>
            <w:tcW w:w="568" w:type="dxa"/>
            <w:tcBorders>
              <w:bottom w:val="single" w:color="000000" w:sz="4" w:space="0"/>
            </w:tcBorders>
          </w:tcPr>
          <w:p>
            <w:pPr>
              <w:spacing w:before="60" w:after="60" w:line="240" w:lineRule="auto"/>
              <w:jc w:val="center"/>
              <w:rPr>
                <w:rFonts w:ascii="Tahoma" w:hAnsi="Tahoma" w:cs="Tahoma"/>
                <w:color w:val="000000"/>
                <w:sz w:val="20"/>
                <w:szCs w:val="20"/>
                <w:lang w:val="id-ID"/>
              </w:rPr>
            </w:pPr>
            <w:r>
              <w:rPr>
                <w:rFonts w:ascii="Tahoma" w:hAnsi="Tahoma" w:cs="Tahoma"/>
                <w:color w:val="000000"/>
                <w:sz w:val="20"/>
                <w:szCs w:val="20"/>
                <w:lang w:val="id-ID"/>
              </w:rPr>
              <w:t>2</w:t>
            </w:r>
          </w:p>
        </w:tc>
        <w:tc>
          <w:tcPr>
            <w:tcW w:w="4352" w:type="dxa"/>
            <w:gridSpan w:val="2"/>
            <w:tcBorders>
              <w:bottom w:val="single" w:color="000000" w:sz="4" w:space="0"/>
            </w:tcBorders>
            <w:vAlign w:val="center"/>
          </w:tcPr>
          <w:p>
            <w:pPr>
              <w:spacing w:before="60" w:after="60" w:line="240" w:lineRule="auto"/>
              <w:rPr>
                <w:rFonts w:ascii="Tahoma" w:hAnsi="Tahoma" w:cs="Tahoma"/>
                <w:color w:val="000000"/>
                <w:sz w:val="20"/>
                <w:szCs w:val="20"/>
                <w:lang w:val="id-ID"/>
              </w:rPr>
            </w:pPr>
            <w:r>
              <w:rPr>
                <w:rFonts w:ascii="Tahoma" w:hAnsi="Tahoma" w:cs="Tahoma"/>
                <w:color w:val="000000"/>
                <w:sz w:val="20"/>
                <w:szCs w:val="20"/>
                <w:lang w:val="id-ID"/>
              </w:rPr>
              <w:t>Pengembangan Sistem Informasi Manajemen Samsat Link</w:t>
            </w:r>
          </w:p>
        </w:tc>
        <w:tc>
          <w:tcPr>
            <w:tcW w:w="1776" w:type="dxa"/>
            <w:gridSpan w:val="2"/>
            <w:tcBorders>
              <w:bottom w:val="single" w:color="000000" w:sz="4" w:space="0"/>
            </w:tcBorders>
            <w:vAlign w:val="center"/>
          </w:tcPr>
          <w:p>
            <w:pPr>
              <w:ind w:firstLine="200" w:firstLineChars="100"/>
              <w:jc w:val="right"/>
              <w:rPr>
                <w:rFonts w:ascii="Tahoma" w:hAnsi="Tahoma" w:cs="Tahoma"/>
                <w:color w:val="000000"/>
                <w:sz w:val="20"/>
                <w:szCs w:val="20"/>
              </w:rPr>
            </w:pPr>
            <w:r>
              <w:rPr>
                <w:rFonts w:ascii="Tahoma" w:hAnsi="Tahoma" w:cs="Tahoma"/>
                <w:color w:val="000000"/>
                <w:sz w:val="20"/>
                <w:szCs w:val="20"/>
              </w:rPr>
              <w:t>1.240.180.600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522" w:type="dxa"/>
            <w:vMerge w:val="restart"/>
            <w:tcBorders>
              <w:top w:val="single" w:color="auto" w:sz="4" w:space="0"/>
              <w:bottom w:val="single" w:color="auto" w:sz="4" w:space="0"/>
            </w:tcBorders>
          </w:tcPr>
          <w:p>
            <w:pPr>
              <w:spacing w:before="60" w:after="60" w:line="240" w:lineRule="auto"/>
              <w:jc w:val="center"/>
              <w:rPr>
                <w:rFonts w:ascii="Tahoma" w:hAnsi="Tahoma" w:cs="Tahoma"/>
                <w:color w:val="000000"/>
                <w:sz w:val="20"/>
                <w:szCs w:val="20"/>
              </w:rPr>
            </w:pPr>
            <w:r>
              <w:rPr>
                <w:rFonts w:ascii="Tahoma" w:hAnsi="Tahoma" w:cs="Tahoma"/>
                <w:color w:val="000000"/>
                <w:sz w:val="20"/>
                <w:szCs w:val="20"/>
              </w:rPr>
              <w:t>4</w:t>
            </w:r>
          </w:p>
        </w:tc>
        <w:tc>
          <w:tcPr>
            <w:tcW w:w="2100" w:type="dxa"/>
            <w:vMerge w:val="restart"/>
            <w:tcBorders>
              <w:top w:val="single" w:color="auto" w:sz="4" w:space="0"/>
              <w:bottom w:val="single" w:color="auto" w:sz="4" w:space="0"/>
            </w:tcBorders>
          </w:tcPr>
          <w:p>
            <w:pPr>
              <w:spacing w:before="60" w:after="60" w:line="240" w:lineRule="auto"/>
              <w:rPr>
                <w:rFonts w:ascii="Tahoma" w:hAnsi="Tahoma" w:cs="Tahoma"/>
                <w:color w:val="000000"/>
                <w:sz w:val="20"/>
                <w:szCs w:val="20"/>
                <w:lang w:val="id-ID"/>
              </w:rPr>
            </w:pPr>
            <w:r>
              <w:rPr>
                <w:rFonts w:ascii="Tahoma" w:hAnsi="Tahoma" w:cs="Tahoma"/>
                <w:color w:val="000000"/>
                <w:sz w:val="20"/>
                <w:szCs w:val="20"/>
                <w:lang w:val="id-ID"/>
              </w:rPr>
              <w:t>Meningkatnya Pendapatan Asli Daerah</w:t>
            </w:r>
          </w:p>
        </w:tc>
        <w:tc>
          <w:tcPr>
            <w:tcW w:w="2590" w:type="dxa"/>
            <w:vMerge w:val="restart"/>
            <w:tcBorders>
              <w:top w:val="single" w:color="auto" w:sz="4" w:space="0"/>
              <w:bottom w:val="single" w:color="auto" w:sz="4" w:space="0"/>
            </w:tcBorders>
          </w:tcPr>
          <w:p>
            <w:pPr>
              <w:spacing w:before="60" w:after="60"/>
              <w:rPr>
                <w:rFonts w:ascii="Tahoma" w:hAnsi="Tahoma" w:cs="Tahoma"/>
                <w:color w:val="000000"/>
                <w:sz w:val="20"/>
                <w:szCs w:val="20"/>
                <w:lang w:val="id-ID"/>
              </w:rPr>
            </w:pPr>
            <w:r>
              <w:rPr>
                <w:rFonts w:ascii="Tahoma" w:hAnsi="Tahoma" w:cs="Tahoma"/>
                <w:color w:val="000000"/>
                <w:sz w:val="20"/>
                <w:szCs w:val="20"/>
                <w:lang w:val="id-ID"/>
              </w:rPr>
              <w:t>Persentase Peningkatan Pendapatan Asli Daerah</w:t>
            </w:r>
          </w:p>
        </w:tc>
        <w:tc>
          <w:tcPr>
            <w:tcW w:w="1352" w:type="dxa"/>
            <w:vMerge w:val="restart"/>
            <w:tcBorders>
              <w:top w:val="single" w:color="auto" w:sz="4" w:space="0"/>
              <w:bottom w:val="single" w:color="auto" w:sz="4" w:space="0"/>
            </w:tcBorders>
          </w:tcPr>
          <w:p>
            <w:pPr>
              <w:spacing w:before="60" w:after="60"/>
              <w:jc w:val="center"/>
              <w:rPr>
                <w:rFonts w:ascii="Tahoma" w:hAnsi="Tahoma" w:cs="Tahoma"/>
                <w:color w:val="000000"/>
                <w:sz w:val="20"/>
                <w:szCs w:val="20"/>
              </w:rPr>
            </w:pPr>
            <w:r>
              <w:rPr>
                <w:rFonts w:ascii="Tahoma" w:hAnsi="Tahoma" w:cs="Tahoma"/>
                <w:color w:val="000000"/>
                <w:sz w:val="20"/>
                <w:szCs w:val="20"/>
              </w:rPr>
              <w:t>-8,47</w:t>
            </w:r>
          </w:p>
        </w:tc>
        <w:tc>
          <w:tcPr>
            <w:tcW w:w="6696" w:type="dxa"/>
            <w:gridSpan w:val="5"/>
            <w:tcBorders>
              <w:top w:val="single" w:color="auto" w:sz="4" w:space="0"/>
            </w:tcBorders>
          </w:tcPr>
          <w:p>
            <w:pPr>
              <w:spacing w:before="60" w:after="60"/>
              <w:ind w:left="528"/>
              <w:rPr>
                <w:rFonts w:ascii="Tahoma" w:hAnsi="Tahoma" w:cs="Tahoma"/>
                <w:color w:val="000000" w:themeColor="text1"/>
                <w:sz w:val="20"/>
                <w:szCs w:val="20"/>
                <w:lang w:val="id-ID"/>
                <w14:textFill>
                  <w14:solidFill>
                    <w14:schemeClr w14:val="tx1"/>
                  </w14:solidFill>
                </w14:textFill>
              </w:rPr>
            </w:pPr>
            <w:r>
              <w:rPr>
                <w:rFonts w:ascii="Tahoma" w:hAnsi="Tahoma" w:cs="Tahoma"/>
                <w:b/>
                <w:color w:val="000000" w:themeColor="text1"/>
                <w:sz w:val="20"/>
                <w:szCs w:val="20"/>
                <w:lang w:val="id-ID"/>
                <w14:textFill>
                  <w14:solidFill>
                    <w14:schemeClr w14:val="tx1"/>
                  </w14:solidFill>
                </w14:textFill>
              </w:rPr>
              <w:t>PROGRAM PENINGKATAN PENDAPATAN  DAERAH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 w:type="dxa"/>
          <w:trHeight w:val="90" w:hRule="atLeast"/>
        </w:trPr>
        <w:tc>
          <w:tcPr>
            <w:tcW w:w="522"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FF0000"/>
                <w:sz w:val="20"/>
                <w:szCs w:val="20"/>
                <w:lang w:val="id-ID"/>
              </w:rPr>
            </w:pPr>
          </w:p>
        </w:tc>
        <w:tc>
          <w:tcPr>
            <w:tcW w:w="2100"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FF0000"/>
                <w:sz w:val="20"/>
                <w:szCs w:val="20"/>
                <w:lang w:val="id-ID"/>
              </w:rPr>
            </w:pPr>
          </w:p>
        </w:tc>
        <w:tc>
          <w:tcPr>
            <w:tcW w:w="2590"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FF0000"/>
                <w:sz w:val="20"/>
                <w:szCs w:val="20"/>
                <w:lang w:val="id-ID"/>
              </w:rPr>
            </w:pPr>
          </w:p>
        </w:tc>
        <w:tc>
          <w:tcPr>
            <w:tcW w:w="1352"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FF0000"/>
                <w:sz w:val="20"/>
                <w:szCs w:val="20"/>
                <w:lang w:val="id-ID"/>
              </w:rPr>
            </w:pPr>
          </w:p>
        </w:tc>
        <w:tc>
          <w:tcPr>
            <w:tcW w:w="568" w:type="dxa"/>
          </w:tcPr>
          <w:p>
            <w:pPr>
              <w:spacing w:before="60" w:after="60" w:line="240" w:lineRule="auto"/>
              <w:jc w:val="center"/>
              <w:rPr>
                <w:rFonts w:ascii="Tahoma" w:hAnsi="Tahoma" w:cs="Tahoma"/>
                <w:color w:val="000000"/>
                <w:sz w:val="20"/>
                <w:szCs w:val="20"/>
                <w:lang w:val="id-ID"/>
              </w:rPr>
            </w:pPr>
            <w:r>
              <w:rPr>
                <w:rFonts w:ascii="Tahoma" w:hAnsi="Tahoma" w:cs="Tahoma"/>
                <w:color w:val="000000"/>
                <w:sz w:val="20"/>
                <w:szCs w:val="20"/>
                <w:lang w:val="id-ID"/>
              </w:rPr>
              <w:t>1</w:t>
            </w:r>
          </w:p>
        </w:tc>
        <w:tc>
          <w:tcPr>
            <w:tcW w:w="4343" w:type="dxa"/>
            <w:vAlign w:val="center"/>
          </w:tcPr>
          <w:p>
            <w:pPr>
              <w:spacing w:before="60" w:after="60" w:line="240" w:lineRule="auto"/>
              <w:rPr>
                <w:rFonts w:ascii="Tahoma" w:hAnsi="Tahoma" w:cs="Tahoma"/>
                <w:color w:val="000000"/>
                <w:sz w:val="20"/>
                <w:szCs w:val="20"/>
                <w:lang w:val="id-ID"/>
              </w:rPr>
            </w:pPr>
            <w:r>
              <w:rPr>
                <w:rFonts w:ascii="Tahoma" w:hAnsi="Tahoma" w:cs="Tahoma"/>
                <w:color w:val="000000"/>
                <w:sz w:val="20"/>
                <w:szCs w:val="20"/>
                <w:lang w:val="id-ID"/>
              </w:rPr>
              <w:t>Penyusunan Peraturan Gubernur tentang Penghitungan Dasar pengenaan PKB dan BBNKB</w:t>
            </w:r>
          </w:p>
        </w:tc>
        <w:tc>
          <w:tcPr>
            <w:tcW w:w="1776" w:type="dxa"/>
            <w:gridSpan w:val="2"/>
            <w:vAlign w:val="center"/>
          </w:tcPr>
          <w:p>
            <w:pPr>
              <w:ind w:firstLine="200" w:firstLineChars="100"/>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119.104.000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 w:type="dxa"/>
        </w:trPr>
        <w:tc>
          <w:tcPr>
            <w:tcW w:w="522"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000000"/>
                <w:sz w:val="20"/>
                <w:szCs w:val="20"/>
                <w:lang w:val="id-ID"/>
              </w:rPr>
            </w:pPr>
          </w:p>
        </w:tc>
        <w:tc>
          <w:tcPr>
            <w:tcW w:w="2100" w:type="dxa"/>
            <w:vMerge w:val="continue"/>
            <w:tcBorders>
              <w:top w:val="single" w:color="auto" w:sz="4" w:space="0"/>
              <w:bottom w:val="single" w:color="auto" w:sz="4" w:space="0"/>
            </w:tcBorders>
            <w:vAlign w:val="center"/>
          </w:tcPr>
          <w:p>
            <w:pPr>
              <w:spacing w:before="60" w:after="60" w:line="240" w:lineRule="auto"/>
              <w:rPr>
                <w:rFonts w:ascii="Tahoma" w:hAnsi="Tahoma" w:cs="Tahoma"/>
                <w:color w:val="000000"/>
                <w:sz w:val="20"/>
                <w:szCs w:val="20"/>
                <w:lang w:val="id-ID"/>
              </w:rPr>
            </w:pPr>
          </w:p>
        </w:tc>
        <w:tc>
          <w:tcPr>
            <w:tcW w:w="2590" w:type="dxa"/>
            <w:vMerge w:val="continue"/>
            <w:tcBorders>
              <w:top w:val="single" w:color="auto" w:sz="4" w:space="0"/>
              <w:bottom w:val="single" w:color="auto" w:sz="4" w:space="0"/>
            </w:tcBorders>
            <w:vAlign w:val="center"/>
          </w:tcPr>
          <w:p>
            <w:pPr>
              <w:spacing w:before="60" w:after="60"/>
              <w:ind w:left="218"/>
              <w:rPr>
                <w:rFonts w:ascii="Tahoma" w:hAnsi="Tahoma" w:cs="Tahoma"/>
                <w:color w:val="000000"/>
                <w:sz w:val="20"/>
                <w:szCs w:val="20"/>
                <w:lang w:val="id-ID"/>
              </w:rPr>
            </w:pPr>
          </w:p>
        </w:tc>
        <w:tc>
          <w:tcPr>
            <w:tcW w:w="1352" w:type="dxa"/>
            <w:vMerge w:val="continue"/>
            <w:tcBorders>
              <w:top w:val="single" w:color="auto" w:sz="4" w:space="0"/>
              <w:bottom w:val="single" w:color="auto" w:sz="4" w:space="0"/>
            </w:tcBorders>
            <w:vAlign w:val="center"/>
          </w:tcPr>
          <w:p>
            <w:pPr>
              <w:spacing w:before="60" w:after="60"/>
              <w:jc w:val="center"/>
              <w:rPr>
                <w:rFonts w:ascii="Tahoma" w:hAnsi="Tahoma" w:cs="Tahoma"/>
                <w:color w:val="000000"/>
                <w:sz w:val="20"/>
                <w:szCs w:val="20"/>
                <w:lang w:val="id-ID"/>
              </w:rPr>
            </w:pPr>
          </w:p>
        </w:tc>
        <w:tc>
          <w:tcPr>
            <w:tcW w:w="568" w:type="dxa"/>
          </w:tcPr>
          <w:p>
            <w:pPr>
              <w:spacing w:before="60" w:after="60" w:line="240" w:lineRule="auto"/>
              <w:jc w:val="center"/>
              <w:rPr>
                <w:rFonts w:ascii="Tahoma" w:hAnsi="Tahoma" w:cs="Tahoma"/>
                <w:color w:val="000000"/>
                <w:sz w:val="20"/>
                <w:szCs w:val="20"/>
                <w:lang w:val="id-ID"/>
              </w:rPr>
            </w:pPr>
            <w:r>
              <w:rPr>
                <w:rFonts w:ascii="Tahoma" w:hAnsi="Tahoma" w:cs="Tahoma"/>
                <w:color w:val="000000"/>
                <w:sz w:val="20"/>
                <w:szCs w:val="20"/>
                <w:lang w:val="id-ID"/>
              </w:rPr>
              <w:t>2</w:t>
            </w:r>
          </w:p>
        </w:tc>
        <w:tc>
          <w:tcPr>
            <w:tcW w:w="4343" w:type="dxa"/>
            <w:vAlign w:val="center"/>
          </w:tcPr>
          <w:p>
            <w:pPr>
              <w:spacing w:before="60" w:after="60" w:line="240" w:lineRule="auto"/>
              <w:rPr>
                <w:rFonts w:ascii="Tahoma" w:hAnsi="Tahoma" w:cs="Tahoma"/>
                <w:color w:val="000000"/>
                <w:sz w:val="20"/>
                <w:szCs w:val="20"/>
                <w:lang w:val="id-ID"/>
              </w:rPr>
            </w:pPr>
            <w:r>
              <w:rPr>
                <w:rFonts w:ascii="Tahoma" w:hAnsi="Tahoma" w:cs="Tahoma"/>
                <w:color w:val="000000"/>
                <w:sz w:val="20"/>
                <w:szCs w:val="20"/>
                <w:lang w:val="id-ID"/>
              </w:rPr>
              <w:t>Sosialisasi Peraturan Perundang-undangan di Bidang Cukai dan Retribusi dan Penerimaan Lain-lain</w:t>
            </w:r>
          </w:p>
        </w:tc>
        <w:tc>
          <w:tcPr>
            <w:tcW w:w="1776" w:type="dxa"/>
            <w:gridSpan w:val="2"/>
            <w:vAlign w:val="center"/>
          </w:tcPr>
          <w:p>
            <w:pPr>
              <w:ind w:firstLine="200" w:firstLineChars="100"/>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17.127.000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 w:type="dxa"/>
        </w:trPr>
        <w:tc>
          <w:tcPr>
            <w:tcW w:w="522"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FF0000"/>
                <w:sz w:val="20"/>
                <w:szCs w:val="20"/>
                <w:lang w:val="id-ID"/>
              </w:rPr>
            </w:pPr>
          </w:p>
        </w:tc>
        <w:tc>
          <w:tcPr>
            <w:tcW w:w="2100"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FF0000"/>
                <w:sz w:val="20"/>
                <w:szCs w:val="20"/>
                <w:lang w:val="id-ID"/>
              </w:rPr>
            </w:pPr>
          </w:p>
        </w:tc>
        <w:tc>
          <w:tcPr>
            <w:tcW w:w="2590"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FF0000"/>
                <w:sz w:val="20"/>
                <w:szCs w:val="20"/>
                <w:lang w:val="id-ID"/>
              </w:rPr>
            </w:pPr>
          </w:p>
        </w:tc>
        <w:tc>
          <w:tcPr>
            <w:tcW w:w="1352"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FF0000"/>
                <w:sz w:val="20"/>
                <w:szCs w:val="20"/>
                <w:lang w:val="id-ID"/>
              </w:rPr>
            </w:pPr>
          </w:p>
        </w:tc>
        <w:tc>
          <w:tcPr>
            <w:tcW w:w="568" w:type="dxa"/>
            <w:tcBorders>
              <w:bottom w:val="single" w:color="auto" w:sz="4" w:space="0"/>
            </w:tcBorders>
          </w:tcPr>
          <w:p>
            <w:pPr>
              <w:spacing w:before="60" w:after="60" w:line="240" w:lineRule="auto"/>
              <w:jc w:val="center"/>
              <w:rPr>
                <w:rFonts w:ascii="Tahoma" w:hAnsi="Tahoma" w:cs="Tahoma"/>
                <w:color w:val="000000"/>
                <w:sz w:val="20"/>
                <w:szCs w:val="20"/>
                <w:lang w:val="id-ID"/>
              </w:rPr>
            </w:pPr>
            <w:r>
              <w:rPr>
                <w:rFonts w:ascii="Tahoma" w:hAnsi="Tahoma" w:cs="Tahoma"/>
                <w:color w:val="000000"/>
                <w:sz w:val="20"/>
                <w:szCs w:val="20"/>
                <w:lang w:val="id-ID"/>
              </w:rPr>
              <w:t>3</w:t>
            </w:r>
          </w:p>
        </w:tc>
        <w:tc>
          <w:tcPr>
            <w:tcW w:w="4343" w:type="dxa"/>
            <w:vAlign w:val="center"/>
          </w:tcPr>
          <w:p>
            <w:pPr>
              <w:spacing w:before="60" w:after="60" w:line="240" w:lineRule="auto"/>
              <w:rPr>
                <w:rFonts w:ascii="Tahoma" w:hAnsi="Tahoma" w:cs="Tahoma"/>
                <w:color w:val="000000"/>
                <w:sz w:val="20"/>
                <w:szCs w:val="20"/>
                <w:lang w:val="id-ID"/>
              </w:rPr>
            </w:pPr>
            <w:r>
              <w:rPr>
                <w:rFonts w:ascii="Tahoma" w:hAnsi="Tahoma" w:cs="Tahoma"/>
                <w:color w:val="000000"/>
                <w:sz w:val="20"/>
                <w:szCs w:val="20"/>
                <w:lang w:val="id-ID"/>
              </w:rPr>
              <w:t>Peningkatan Pendapatan Dana Perimbangan</w:t>
            </w:r>
          </w:p>
        </w:tc>
        <w:tc>
          <w:tcPr>
            <w:tcW w:w="1776" w:type="dxa"/>
            <w:gridSpan w:val="2"/>
            <w:vAlign w:val="center"/>
          </w:tcPr>
          <w:p>
            <w:pPr>
              <w:ind w:firstLine="200" w:firstLineChars="100"/>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35.753.200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 w:type="dxa"/>
        </w:trPr>
        <w:tc>
          <w:tcPr>
            <w:tcW w:w="522"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FF0000"/>
                <w:sz w:val="20"/>
                <w:szCs w:val="20"/>
                <w:lang w:val="id-ID"/>
              </w:rPr>
            </w:pPr>
          </w:p>
        </w:tc>
        <w:tc>
          <w:tcPr>
            <w:tcW w:w="2100"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FF0000"/>
                <w:sz w:val="20"/>
                <w:szCs w:val="20"/>
                <w:lang w:val="id-ID"/>
              </w:rPr>
            </w:pPr>
          </w:p>
        </w:tc>
        <w:tc>
          <w:tcPr>
            <w:tcW w:w="2590" w:type="dxa"/>
            <w:vMerge w:val="continue"/>
            <w:tcBorders>
              <w:top w:val="single" w:color="auto" w:sz="4" w:space="0"/>
              <w:bottom w:val="single" w:color="auto" w:sz="4" w:space="0"/>
            </w:tcBorders>
          </w:tcPr>
          <w:p>
            <w:pPr>
              <w:spacing w:before="60" w:after="60" w:line="240" w:lineRule="auto"/>
              <w:rPr>
                <w:rFonts w:ascii="Tahoma" w:hAnsi="Tahoma" w:cs="Tahoma"/>
                <w:color w:val="000000"/>
                <w:sz w:val="20"/>
                <w:szCs w:val="20"/>
                <w:lang w:val="id-ID"/>
              </w:rPr>
            </w:pPr>
          </w:p>
        </w:tc>
        <w:tc>
          <w:tcPr>
            <w:tcW w:w="1352" w:type="dxa"/>
            <w:vMerge w:val="continue"/>
            <w:tcBorders>
              <w:top w:val="single" w:color="auto" w:sz="4" w:space="0"/>
              <w:bottom w:val="single" w:color="auto" w:sz="4" w:space="0"/>
            </w:tcBorders>
          </w:tcPr>
          <w:p>
            <w:pPr>
              <w:spacing w:before="60" w:after="60" w:line="240" w:lineRule="auto"/>
              <w:jc w:val="center"/>
              <w:rPr>
                <w:rFonts w:ascii="Tahoma" w:hAnsi="Tahoma" w:cs="Tahoma"/>
                <w:color w:val="000000"/>
                <w:sz w:val="20"/>
                <w:szCs w:val="20"/>
                <w:lang w:val="id-ID"/>
              </w:rPr>
            </w:pPr>
          </w:p>
        </w:tc>
        <w:tc>
          <w:tcPr>
            <w:tcW w:w="568" w:type="dxa"/>
            <w:tcBorders>
              <w:top w:val="single" w:color="auto" w:sz="4" w:space="0"/>
              <w:bottom w:val="single" w:color="auto" w:sz="4" w:space="0"/>
            </w:tcBorders>
          </w:tcPr>
          <w:p>
            <w:pPr>
              <w:spacing w:before="60" w:after="60" w:line="240" w:lineRule="auto"/>
              <w:jc w:val="center"/>
              <w:rPr>
                <w:rFonts w:ascii="Tahoma" w:hAnsi="Tahoma" w:cs="Tahoma"/>
                <w:color w:val="000000"/>
                <w:sz w:val="20"/>
                <w:szCs w:val="20"/>
                <w:lang w:val="id-ID"/>
              </w:rPr>
            </w:pPr>
            <w:r>
              <w:rPr>
                <w:rFonts w:ascii="Tahoma" w:hAnsi="Tahoma" w:cs="Tahoma"/>
                <w:color w:val="000000"/>
                <w:sz w:val="20"/>
                <w:szCs w:val="20"/>
                <w:lang w:val="id-ID"/>
              </w:rPr>
              <w:t>4</w:t>
            </w:r>
          </w:p>
        </w:tc>
        <w:tc>
          <w:tcPr>
            <w:tcW w:w="4343" w:type="dxa"/>
            <w:vAlign w:val="center"/>
          </w:tcPr>
          <w:p>
            <w:pPr>
              <w:spacing w:before="60" w:after="60" w:line="240" w:lineRule="auto"/>
              <w:rPr>
                <w:rFonts w:ascii="Tahoma" w:hAnsi="Tahoma" w:cs="Tahoma"/>
                <w:color w:val="000000"/>
                <w:sz w:val="20"/>
                <w:szCs w:val="20"/>
                <w:lang w:val="id-ID"/>
              </w:rPr>
            </w:pPr>
            <w:r>
              <w:rPr>
                <w:rFonts w:ascii="Tahoma" w:hAnsi="Tahoma" w:cs="Tahoma"/>
                <w:color w:val="000000"/>
                <w:sz w:val="20"/>
                <w:szCs w:val="20"/>
                <w:lang w:val="id-ID"/>
              </w:rPr>
              <w:t xml:space="preserve">Penyusunan Ranperda Retribusi Daerah </w:t>
            </w:r>
          </w:p>
        </w:tc>
        <w:tc>
          <w:tcPr>
            <w:tcW w:w="1776" w:type="dxa"/>
            <w:gridSpan w:val="2"/>
            <w:vAlign w:val="center"/>
          </w:tcPr>
          <w:p>
            <w:pPr>
              <w:ind w:firstLine="200" w:firstLineChars="100"/>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204.230.900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 w:type="dxa"/>
        </w:trPr>
        <w:tc>
          <w:tcPr>
            <w:tcW w:w="522"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FF0000"/>
                <w:sz w:val="20"/>
                <w:szCs w:val="20"/>
                <w:lang w:val="id-ID"/>
              </w:rPr>
            </w:pPr>
          </w:p>
        </w:tc>
        <w:tc>
          <w:tcPr>
            <w:tcW w:w="2100"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FF0000"/>
                <w:sz w:val="20"/>
                <w:szCs w:val="20"/>
                <w:lang w:val="id-ID"/>
              </w:rPr>
            </w:pPr>
          </w:p>
        </w:tc>
        <w:tc>
          <w:tcPr>
            <w:tcW w:w="2590"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000000"/>
                <w:sz w:val="20"/>
                <w:szCs w:val="20"/>
                <w:lang w:val="id-ID"/>
              </w:rPr>
            </w:pPr>
          </w:p>
        </w:tc>
        <w:tc>
          <w:tcPr>
            <w:tcW w:w="1352"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000000"/>
                <w:sz w:val="20"/>
                <w:szCs w:val="20"/>
                <w:lang w:val="id-ID"/>
              </w:rPr>
            </w:pPr>
          </w:p>
        </w:tc>
        <w:tc>
          <w:tcPr>
            <w:tcW w:w="568" w:type="dxa"/>
            <w:tcBorders>
              <w:top w:val="single" w:color="auto" w:sz="4" w:space="0"/>
            </w:tcBorders>
          </w:tcPr>
          <w:p>
            <w:pPr>
              <w:spacing w:before="60" w:after="60" w:line="240" w:lineRule="auto"/>
              <w:jc w:val="center"/>
              <w:rPr>
                <w:rFonts w:ascii="Tahoma" w:hAnsi="Tahoma" w:cs="Tahoma"/>
                <w:color w:val="000000"/>
                <w:sz w:val="20"/>
                <w:szCs w:val="20"/>
                <w:lang w:val="id-ID"/>
              </w:rPr>
            </w:pPr>
            <w:r>
              <w:rPr>
                <w:rFonts w:ascii="Tahoma" w:hAnsi="Tahoma" w:cs="Tahoma"/>
                <w:color w:val="000000"/>
                <w:sz w:val="20"/>
                <w:szCs w:val="20"/>
                <w:lang w:val="id-ID"/>
              </w:rPr>
              <w:t>5</w:t>
            </w:r>
          </w:p>
        </w:tc>
        <w:tc>
          <w:tcPr>
            <w:tcW w:w="4343" w:type="dxa"/>
            <w:vAlign w:val="center"/>
          </w:tcPr>
          <w:p>
            <w:pPr>
              <w:spacing w:before="60" w:after="60" w:line="240" w:lineRule="auto"/>
              <w:rPr>
                <w:rFonts w:ascii="Tahoma" w:hAnsi="Tahoma" w:cs="Tahoma"/>
                <w:color w:val="000000"/>
                <w:sz w:val="20"/>
                <w:szCs w:val="20"/>
                <w:lang w:val="id-ID"/>
              </w:rPr>
            </w:pPr>
            <w:r>
              <w:rPr>
                <w:rFonts w:ascii="Tahoma" w:hAnsi="Tahoma" w:cs="Tahoma"/>
                <w:color w:val="000000"/>
                <w:sz w:val="20"/>
                <w:szCs w:val="20"/>
                <w:lang w:val="id-ID"/>
              </w:rPr>
              <w:t>Peningkatan dan Penyusunan Rencana Penerimaan Retribusi Daerah dan Penerimaan Lain-Lain</w:t>
            </w:r>
          </w:p>
        </w:tc>
        <w:tc>
          <w:tcPr>
            <w:tcW w:w="1776" w:type="dxa"/>
            <w:gridSpan w:val="2"/>
            <w:vAlign w:val="center"/>
          </w:tcPr>
          <w:p>
            <w:pPr>
              <w:ind w:firstLine="200" w:firstLineChars="100"/>
              <w:jc w:val="right"/>
              <w:rPr>
                <w:rFonts w:ascii="Tahoma" w:hAnsi="Tahoma" w:cs="Tahoma"/>
                <w:color w:val="000000" w:themeColor="text1"/>
                <w:sz w:val="20"/>
                <w:szCs w:val="20"/>
                <w14:textFill>
                  <w14:solidFill>
                    <w14:schemeClr w14:val="tx1"/>
                  </w14:solidFill>
                </w14:textFill>
              </w:rPr>
            </w:pPr>
            <w:r>
              <w:rPr>
                <w:rFonts w:ascii="Tahoma" w:hAnsi="Tahoma" w:cs="Tahoma"/>
                <w:color w:val="000000" w:themeColor="text1"/>
                <w:sz w:val="20"/>
                <w:szCs w:val="20"/>
                <w14:textFill>
                  <w14:solidFill>
                    <w14:schemeClr w14:val="tx1"/>
                  </w14:solidFill>
                </w14:textFill>
              </w:rPr>
              <w:t>58.683.300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 w:type="dxa"/>
        </w:trPr>
        <w:tc>
          <w:tcPr>
            <w:tcW w:w="522"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FF0000"/>
                <w:sz w:val="20"/>
                <w:szCs w:val="20"/>
                <w:lang w:val="id-ID"/>
              </w:rPr>
            </w:pPr>
          </w:p>
        </w:tc>
        <w:tc>
          <w:tcPr>
            <w:tcW w:w="2100"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FF0000"/>
                <w:sz w:val="20"/>
                <w:szCs w:val="20"/>
                <w:lang w:val="id-ID"/>
              </w:rPr>
            </w:pPr>
          </w:p>
        </w:tc>
        <w:tc>
          <w:tcPr>
            <w:tcW w:w="2590"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000000"/>
                <w:sz w:val="20"/>
                <w:szCs w:val="20"/>
                <w:lang w:val="id-ID"/>
              </w:rPr>
            </w:pPr>
          </w:p>
        </w:tc>
        <w:tc>
          <w:tcPr>
            <w:tcW w:w="1352" w:type="dxa"/>
            <w:vMerge w:val="continue"/>
            <w:tcBorders>
              <w:top w:val="single" w:color="auto" w:sz="4" w:space="0"/>
              <w:bottom w:val="single" w:color="auto" w:sz="4" w:space="0"/>
            </w:tcBorders>
            <w:vAlign w:val="center"/>
          </w:tcPr>
          <w:p>
            <w:pPr>
              <w:spacing w:before="60" w:after="60" w:line="240" w:lineRule="auto"/>
              <w:jc w:val="center"/>
              <w:rPr>
                <w:rFonts w:ascii="Tahoma" w:hAnsi="Tahoma" w:cs="Tahoma"/>
                <w:color w:val="000000"/>
                <w:sz w:val="20"/>
                <w:szCs w:val="20"/>
                <w:lang w:val="id-ID"/>
              </w:rPr>
            </w:pPr>
          </w:p>
        </w:tc>
        <w:tc>
          <w:tcPr>
            <w:tcW w:w="568" w:type="dxa"/>
          </w:tcPr>
          <w:p>
            <w:pPr>
              <w:spacing w:before="60" w:after="60" w:line="240" w:lineRule="auto"/>
              <w:jc w:val="center"/>
              <w:rPr>
                <w:rFonts w:ascii="Tahoma" w:hAnsi="Tahoma" w:cs="Tahoma"/>
                <w:color w:val="000000"/>
                <w:sz w:val="20"/>
                <w:szCs w:val="20"/>
                <w:lang w:val="id-ID"/>
              </w:rPr>
            </w:pPr>
            <w:r>
              <w:rPr>
                <w:rFonts w:ascii="Tahoma" w:hAnsi="Tahoma" w:cs="Tahoma"/>
                <w:color w:val="000000"/>
                <w:sz w:val="20"/>
                <w:szCs w:val="20"/>
                <w:lang w:val="id-ID"/>
              </w:rPr>
              <w:t>6</w:t>
            </w:r>
          </w:p>
        </w:tc>
        <w:tc>
          <w:tcPr>
            <w:tcW w:w="4343" w:type="dxa"/>
            <w:vAlign w:val="center"/>
          </w:tcPr>
          <w:p>
            <w:pPr>
              <w:spacing w:before="60" w:after="60" w:line="240" w:lineRule="auto"/>
              <w:rPr>
                <w:rFonts w:ascii="Tahoma" w:hAnsi="Tahoma" w:cs="Tahoma"/>
                <w:color w:val="000000"/>
                <w:sz w:val="20"/>
                <w:szCs w:val="20"/>
                <w:lang w:val="id-ID"/>
              </w:rPr>
            </w:pPr>
            <w:r>
              <w:rPr>
                <w:rFonts w:ascii="Tahoma" w:hAnsi="Tahoma" w:cs="Tahoma"/>
                <w:color w:val="000000"/>
                <w:sz w:val="20"/>
                <w:szCs w:val="20"/>
                <w:lang w:val="id-ID"/>
              </w:rPr>
              <w:t>Intensifikasi Pening</w:t>
            </w:r>
            <w:r>
              <w:rPr>
                <w:rFonts w:ascii="Tahoma" w:hAnsi="Tahoma" w:cs="Tahoma"/>
                <w:color w:val="000000"/>
                <w:sz w:val="20"/>
                <w:szCs w:val="20"/>
              </w:rPr>
              <w:t>ka</w:t>
            </w:r>
            <w:r>
              <w:rPr>
                <w:rFonts w:ascii="Tahoma" w:hAnsi="Tahoma" w:cs="Tahoma"/>
                <w:color w:val="000000"/>
                <w:sz w:val="20"/>
                <w:szCs w:val="20"/>
                <w:lang w:val="id-ID"/>
              </w:rPr>
              <w:t>tan Pajak Daerah</w:t>
            </w:r>
          </w:p>
        </w:tc>
        <w:tc>
          <w:tcPr>
            <w:tcW w:w="1776" w:type="dxa"/>
            <w:gridSpan w:val="2"/>
            <w:vAlign w:val="center"/>
          </w:tcPr>
          <w:p>
            <w:pPr>
              <w:ind w:firstLine="200" w:firstLineChars="100"/>
              <w:jc w:val="center"/>
              <w:rPr>
                <w:rFonts w:ascii="Tahoma" w:hAnsi="Tahoma" w:cs="Tahoma"/>
                <w:color w:val="000000"/>
                <w:sz w:val="20"/>
                <w:szCs w:val="20"/>
              </w:rPr>
            </w:pPr>
            <w:r>
              <w:rPr>
                <w:rFonts w:ascii="Tahoma" w:hAnsi="Tahoma" w:cs="Tahoma"/>
                <w:sz w:val="20"/>
                <w:szCs w:val="20"/>
              </w:rPr>
              <w:t>5.157.078.245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9" w:type="dxa"/>
        </w:trPr>
        <w:tc>
          <w:tcPr>
            <w:tcW w:w="522" w:type="dxa"/>
            <w:tcBorders>
              <w:top w:val="single" w:color="auto" w:sz="4" w:space="0"/>
              <w:bottom w:val="single" w:color="auto" w:sz="4" w:space="0"/>
            </w:tcBorders>
          </w:tcPr>
          <w:p>
            <w:pPr>
              <w:spacing w:after="60" w:line="240" w:lineRule="auto"/>
              <w:jc w:val="center"/>
              <w:rPr>
                <w:rFonts w:ascii="Tahoma" w:hAnsi="Tahoma" w:cs="Tahoma"/>
                <w:color w:val="000000"/>
                <w:sz w:val="20"/>
                <w:szCs w:val="20"/>
                <w:lang w:val="id-ID"/>
              </w:rPr>
            </w:pPr>
            <w:r>
              <w:rPr>
                <w:rFonts w:ascii="Tahoma" w:hAnsi="Tahoma" w:cs="Tahoma"/>
                <w:color w:val="000000"/>
                <w:sz w:val="20"/>
                <w:szCs w:val="20"/>
                <w:lang w:val="id-ID"/>
              </w:rPr>
              <w:t>5</w:t>
            </w:r>
          </w:p>
        </w:tc>
        <w:tc>
          <w:tcPr>
            <w:tcW w:w="2100" w:type="dxa"/>
            <w:tcBorders>
              <w:top w:val="single" w:color="auto" w:sz="4" w:space="0"/>
              <w:bottom w:val="single" w:color="auto" w:sz="4" w:space="0"/>
            </w:tcBorders>
          </w:tcPr>
          <w:p>
            <w:pPr>
              <w:spacing w:after="60" w:line="240" w:lineRule="auto"/>
              <w:rPr>
                <w:rFonts w:ascii="Tahoma" w:hAnsi="Tahoma" w:cs="Tahoma"/>
                <w:color w:val="000000"/>
                <w:sz w:val="20"/>
                <w:szCs w:val="20"/>
                <w:lang w:val="id-ID"/>
              </w:rPr>
            </w:pPr>
            <w:r>
              <w:rPr>
                <w:rFonts w:ascii="Tahoma" w:hAnsi="Tahoma" w:cs="Tahoma"/>
                <w:color w:val="000000"/>
                <w:sz w:val="20"/>
                <w:szCs w:val="20"/>
                <w:lang w:val="id-ID"/>
              </w:rPr>
              <w:t>Meningkatnya Tata Kelola Organisasi</w:t>
            </w:r>
          </w:p>
        </w:tc>
        <w:tc>
          <w:tcPr>
            <w:tcW w:w="2590" w:type="dxa"/>
            <w:tcBorders>
              <w:top w:val="single" w:color="auto" w:sz="4" w:space="0"/>
              <w:bottom w:val="single" w:color="auto" w:sz="4" w:space="0"/>
            </w:tcBorders>
            <w:vAlign w:val="center"/>
          </w:tcPr>
          <w:p>
            <w:pPr>
              <w:spacing w:before="60" w:after="60" w:line="240" w:lineRule="auto"/>
              <w:rPr>
                <w:rFonts w:ascii="Tahoma" w:hAnsi="Tahoma" w:cs="Tahoma"/>
                <w:color w:val="000000"/>
                <w:sz w:val="20"/>
                <w:szCs w:val="20"/>
                <w:lang w:val="id-ID"/>
              </w:rPr>
            </w:pPr>
            <w:r>
              <w:rPr>
                <w:rFonts w:ascii="Tahoma" w:hAnsi="Tahoma" w:cs="Tahoma"/>
                <w:color w:val="000000"/>
                <w:sz w:val="20"/>
                <w:szCs w:val="20"/>
                <w:lang w:val="id-ID"/>
              </w:rPr>
              <w:t>Nilai Evaluasi Laporan Akuntabilitas Kinerja</w:t>
            </w:r>
          </w:p>
        </w:tc>
        <w:tc>
          <w:tcPr>
            <w:tcW w:w="1352" w:type="dxa"/>
            <w:tcBorders>
              <w:top w:val="single" w:color="auto" w:sz="4" w:space="0"/>
              <w:bottom w:val="single" w:color="auto" w:sz="4" w:space="0"/>
            </w:tcBorders>
            <w:vAlign w:val="center"/>
          </w:tcPr>
          <w:p>
            <w:pPr>
              <w:spacing w:after="60" w:line="240" w:lineRule="auto"/>
              <w:jc w:val="center"/>
              <w:rPr>
                <w:rFonts w:ascii="Tahoma" w:hAnsi="Tahoma" w:cs="Tahoma"/>
                <w:color w:val="000000"/>
                <w:sz w:val="20"/>
                <w:szCs w:val="20"/>
                <w:lang w:val="id-ID"/>
              </w:rPr>
            </w:pPr>
            <w:r>
              <w:rPr>
                <w:rFonts w:ascii="Tahoma" w:hAnsi="Tahoma" w:cs="Tahoma"/>
                <w:color w:val="000000"/>
                <w:sz w:val="20"/>
                <w:szCs w:val="20"/>
                <w:lang w:val="id-ID"/>
              </w:rPr>
              <w:t>A</w:t>
            </w:r>
          </w:p>
        </w:tc>
        <w:tc>
          <w:tcPr>
            <w:tcW w:w="568" w:type="dxa"/>
            <w:tcBorders>
              <w:top w:val="nil"/>
              <w:bottom w:val="single" w:color="auto" w:sz="4" w:space="0"/>
            </w:tcBorders>
          </w:tcPr>
          <w:p>
            <w:pPr>
              <w:spacing w:after="60" w:line="240" w:lineRule="auto"/>
              <w:jc w:val="center"/>
              <w:rPr>
                <w:rFonts w:hint="default" w:ascii="Tahoma" w:hAnsi="Tahoma" w:cs="Tahoma"/>
                <w:color w:val="000000"/>
                <w:sz w:val="20"/>
                <w:szCs w:val="20"/>
                <w:lang w:val="en-US"/>
              </w:rPr>
            </w:pPr>
            <w:r>
              <w:rPr>
                <w:rFonts w:hint="default" w:ascii="Tahoma" w:hAnsi="Tahoma" w:cs="Tahoma"/>
                <w:color w:val="000000"/>
                <w:sz w:val="20"/>
                <w:szCs w:val="20"/>
                <w:lang w:val="en-US"/>
              </w:rPr>
              <w:t>1</w:t>
            </w:r>
          </w:p>
        </w:tc>
        <w:tc>
          <w:tcPr>
            <w:tcW w:w="4343" w:type="dxa"/>
            <w:tcBorders>
              <w:top w:val="nil"/>
              <w:bottom w:val="single" w:color="auto" w:sz="4" w:space="0"/>
            </w:tcBorders>
            <w:vAlign w:val="center"/>
          </w:tcPr>
          <w:p>
            <w:pPr>
              <w:spacing w:after="60" w:line="240" w:lineRule="auto"/>
              <w:rPr>
                <w:rFonts w:hint="default" w:ascii="Tahoma" w:hAnsi="Tahoma" w:cs="Tahoma"/>
                <w:b w:val="0"/>
                <w:bCs/>
                <w:color w:val="000000"/>
                <w:sz w:val="20"/>
                <w:szCs w:val="20"/>
                <w:lang w:val="en-US"/>
              </w:rPr>
            </w:pPr>
            <w:r>
              <w:rPr>
                <w:rFonts w:hint="default" w:ascii="Tahoma" w:hAnsi="Tahoma" w:cs="Tahoma"/>
                <w:b w:val="0"/>
                <w:bCs/>
                <w:color w:val="000000"/>
                <w:sz w:val="20"/>
                <w:szCs w:val="20"/>
                <w:lang w:val="en-US"/>
              </w:rPr>
              <w:t>Penyusunan Laporan Capaian Kinerja dan Ikhtisar Realisasi Kinerja SKPD</w:t>
            </w:r>
          </w:p>
        </w:tc>
        <w:tc>
          <w:tcPr>
            <w:tcW w:w="1776" w:type="dxa"/>
            <w:gridSpan w:val="2"/>
            <w:tcBorders>
              <w:top w:val="nil"/>
              <w:bottom w:val="single" w:color="auto" w:sz="4" w:space="0"/>
            </w:tcBorders>
            <w:vAlign w:val="center"/>
          </w:tcPr>
          <w:p>
            <w:pPr>
              <w:ind w:firstLine="200" w:firstLineChars="100"/>
              <w:jc w:val="right"/>
              <w:rPr>
                <w:rFonts w:hint="default" w:ascii="Tahoma" w:hAnsi="Tahoma" w:cs="Tahoma"/>
                <w:color w:val="000000"/>
                <w:sz w:val="20"/>
                <w:szCs w:val="20"/>
                <w:lang w:val="en-US"/>
              </w:rPr>
            </w:pPr>
            <w:r>
              <w:rPr>
                <w:rFonts w:hint="default" w:ascii="Tahoma" w:hAnsi="Tahoma" w:cs="Tahoma"/>
                <w:color w:val="000000"/>
                <w:sz w:val="20"/>
                <w:szCs w:val="20"/>
                <w:lang w:val="en-US"/>
              </w:rPr>
              <w:t>78.018.415</w:t>
            </w:r>
          </w:p>
        </w:tc>
      </w:tr>
    </w:tbl>
    <w:p>
      <w:pPr>
        <w:spacing w:after="0" w:line="240" w:lineRule="auto"/>
        <w:rPr>
          <w:rFonts w:ascii="Tahoma" w:hAnsi="Tahoma" w:cs="Tahoma"/>
          <w:b/>
          <w:color w:val="000000"/>
          <w:sz w:val="20"/>
          <w:szCs w:val="20"/>
          <w:lang w:val="id-ID"/>
        </w:rPr>
      </w:pPr>
    </w:p>
    <w:p>
      <w:pPr>
        <w:pStyle w:val="30"/>
        <w:spacing w:beforeLines="200" w:afterLines="200" w:line="360" w:lineRule="auto"/>
        <w:ind w:left="660" w:leftChars="300" w:firstLine="660" w:firstLineChars="300"/>
        <w:jc w:val="both"/>
        <w:rPr>
          <w:rFonts w:ascii="Tahoma" w:hAnsi="Tahoma" w:cs="Tahoma"/>
          <w:color w:val="000000"/>
          <w:lang w:val="id-ID"/>
        </w:rPr>
        <w:sectPr>
          <w:headerReference r:id="rId15" w:type="first"/>
          <w:footerReference r:id="rId17" w:type="first"/>
          <w:headerReference r:id="rId14" w:type="default"/>
          <w:footerReference r:id="rId16" w:type="default"/>
          <w:pgSz w:w="15840" w:h="12240" w:orient="landscape"/>
          <w:pgMar w:top="993" w:right="1440" w:bottom="1440" w:left="1440" w:header="720" w:footer="720" w:gutter="0"/>
          <w:pgBorders>
            <w:top w:val="none" w:sz="0" w:space="0"/>
            <w:left w:val="none" w:sz="0" w:space="0"/>
            <w:bottom w:val="none" w:sz="0" w:space="0"/>
            <w:right w:val="none" w:sz="0" w:space="0"/>
          </w:pgBorders>
          <w:cols w:space="720" w:num="1"/>
          <w:titlePg/>
          <w:docGrid w:linePitch="360" w:charSpace="0"/>
        </w:sectPr>
      </w:pPr>
    </w:p>
    <w:p>
      <w:pPr>
        <w:pStyle w:val="30"/>
        <w:spacing w:beforeLines="200" w:afterLines="200" w:line="360" w:lineRule="auto"/>
        <w:ind w:left="660" w:leftChars="300" w:firstLine="660" w:firstLineChars="300"/>
        <w:jc w:val="both"/>
        <w:rPr>
          <w:rFonts w:ascii="Tahoma" w:hAnsi="Tahoma" w:cs="Tahoma"/>
        </w:rPr>
      </w:pPr>
      <w:r>
        <w:rPr>
          <w:rFonts w:ascii="Tahoma" w:hAnsi="Tahoma" w:cs="Tahoma"/>
          <w:color w:val="000000"/>
          <w:lang w:val="id-ID"/>
        </w:rPr>
        <w:t xml:space="preserve">Pada sasaran strategis meningkatnya Pendapatan Asli Daerah di tahun 2019 ini indikator kinerja yang  ditetapkan yaitu persentase peningkatan Pendapatan Asli Daerah dengan target awal sebesar </w:t>
      </w:r>
      <w:r>
        <w:rPr>
          <w:rFonts w:ascii="Tahoma" w:hAnsi="Tahoma" w:cs="Tahoma"/>
          <w:lang w:val="id-ID"/>
        </w:rPr>
        <w:t>9,5% dan diu</w:t>
      </w:r>
      <w:r>
        <w:rPr>
          <w:rFonts w:ascii="Tahoma" w:hAnsi="Tahoma" w:cs="Tahoma"/>
          <w:color w:val="000000"/>
          <w:lang w:val="id-ID"/>
        </w:rPr>
        <w:t xml:space="preserve">bah menjadi -8,47. </w:t>
      </w:r>
      <w:r>
        <w:rPr>
          <w:rFonts w:ascii="Tahoma" w:hAnsi="Tahoma" w:cs="Tahoma"/>
        </w:rPr>
        <w:t xml:space="preserve">Hampir seluruh sektor ekonomi dan lapangan usaha di Sumatera Barat ikut terdampak pandemi Covid-19, sehingga pada kwartal I dan II laju pertumbuhan ekonomi Sumatera Barat mengalami perlambatan dibanding dengan periode yang sama pada tahun sebelumnya. Kondisi tersebut tentunya secara langsung akan menimbulkan perlambatan dalam pencapaian target kinerja pendapatan daerah khususnya PAD di tahun berjalan. </w:t>
      </w:r>
    </w:p>
    <w:p>
      <w:pPr>
        <w:pStyle w:val="30"/>
        <w:snapToGrid w:val="0"/>
        <w:spacing w:beforeLines="200" w:afterLines="150" w:line="240" w:lineRule="auto"/>
        <w:ind w:left="660" w:leftChars="300" w:firstLine="660" w:firstLineChars="300"/>
        <w:jc w:val="both"/>
        <w:rPr>
          <w:rFonts w:ascii="Tahoma" w:hAnsi="Tahoma" w:cs="Tahoma"/>
        </w:rPr>
      </w:pPr>
    </w:p>
    <w:p>
      <w:pPr>
        <w:pStyle w:val="30"/>
        <w:snapToGrid w:val="0"/>
        <w:spacing w:beforeLines="200" w:afterLines="150" w:line="360" w:lineRule="auto"/>
        <w:ind w:left="660" w:leftChars="300" w:firstLine="660" w:firstLineChars="300"/>
        <w:jc w:val="both"/>
        <w:rPr>
          <w:rFonts w:ascii="Tahoma" w:hAnsi="Tahoma" w:cs="Tahoma"/>
        </w:rPr>
      </w:pPr>
      <w:r>
        <w:rPr>
          <w:rFonts w:ascii="Tahoma" w:hAnsi="Tahoma" w:cs="Tahoma"/>
        </w:rPr>
        <w:t xml:space="preserve">Bila dilihat realisasi pencapaian target PAD pada Semester I (sampai akhir Juni 2020) adalah sebesar 43,3% sedangkan realisasi pencapaian target PAD pada periode yang sama sampai akhir Juni 2019 adalah sebesar 44,25%. Pajak Daerah sebagai penyumbang terbesar terhadap PAD sampai dengan akhir Juni 2020 terealisir sebesar 41,4%  sedangkan realisasi Pajak Daerah pada periode yang sama diakhir Juni 2019 realisasinya mencapai 45,93%. Begitu juga dengan Retribusi Daerah pada semester I tahun 2020 hanya sebesar 28,9%  sedangkan pada semester I tahun 2019 terealisir sebesar 33,30%. Fakta tersebut memperlihatkan bahwa terjadinya perlambatan pencapaian target PAD pada semester I tahun 2020 sebagai akibat dari melambatnya pertumbuhan ekonomi Sumatera Barat dimasa pandemi Covid-19. </w:t>
      </w:r>
    </w:p>
    <w:p>
      <w:pPr>
        <w:pStyle w:val="30"/>
        <w:spacing w:beforeLines="50" w:afterLines="150" w:line="240" w:lineRule="auto"/>
        <w:ind w:left="660" w:leftChars="300" w:firstLine="660" w:firstLineChars="300"/>
        <w:jc w:val="both"/>
        <w:rPr>
          <w:rFonts w:ascii="Tahoma" w:hAnsi="Tahoma" w:cs="Tahoma"/>
        </w:rPr>
      </w:pPr>
    </w:p>
    <w:p>
      <w:pPr>
        <w:pStyle w:val="30"/>
        <w:spacing w:after="0" w:line="360" w:lineRule="auto"/>
        <w:ind w:left="660" w:leftChars="300" w:firstLine="660" w:firstLineChars="300"/>
        <w:jc w:val="both"/>
        <w:rPr>
          <w:rFonts w:ascii="Tahoma" w:hAnsi="Tahoma" w:cs="Tahoma"/>
        </w:rPr>
      </w:pPr>
      <w:r>
        <w:rPr>
          <w:rFonts w:ascii="Tahoma" w:hAnsi="Tahoma" w:cs="Tahoma"/>
        </w:rPr>
        <w:t>Dengan memperhatikan perlambatan pertumbuhan ekonomi dan realisasi pendapatan sampai akhir Juni 2020 dan permasalahan tersebut masih akan tetap berlangsung sampai akhir tahun 2020, maka seyogiyanya perlu dilakukan koreksi ataupun penyesuaian target pendapatan daerah</w:t>
      </w:r>
      <w:r>
        <w:rPr>
          <w:rFonts w:ascii="Tahoma" w:hAnsi="Tahoma" w:cs="Tahoma"/>
          <w:lang w:val="id-ID"/>
        </w:rPr>
        <w:t>.</w:t>
      </w:r>
    </w:p>
    <w:p>
      <w:pPr>
        <w:spacing w:after="0" w:line="240" w:lineRule="auto"/>
        <w:rPr>
          <w:rFonts w:ascii="Tahoma" w:hAnsi="Tahoma" w:cs="Tahoma"/>
          <w:b/>
          <w:color w:val="000000"/>
          <w:sz w:val="20"/>
          <w:szCs w:val="20"/>
          <w:lang w:val="id-ID"/>
        </w:rPr>
      </w:pPr>
    </w:p>
    <w:p>
      <w:pPr>
        <w:spacing w:after="0" w:line="240" w:lineRule="auto"/>
        <w:rPr>
          <w:rFonts w:ascii="Tahoma" w:hAnsi="Tahoma" w:cs="Tahoma"/>
          <w:b/>
          <w:color w:val="000000"/>
          <w:sz w:val="20"/>
          <w:szCs w:val="20"/>
          <w:lang w:val="id-ID"/>
        </w:rPr>
        <w:sectPr>
          <w:pgSz w:w="12240" w:h="15840"/>
          <w:pgMar w:top="1440" w:right="1440" w:bottom="1440" w:left="993" w:header="720" w:footer="720" w:gutter="0"/>
          <w:pgBorders>
            <w:top w:val="none" w:sz="0" w:space="0"/>
            <w:left w:val="none" w:sz="0" w:space="0"/>
            <w:bottom w:val="none" w:sz="0" w:space="0"/>
            <w:right w:val="none" w:sz="0" w:space="0"/>
          </w:pgBorders>
          <w:cols w:space="720" w:num="1"/>
          <w:titlePg/>
          <w:docGrid w:linePitch="360" w:charSpace="0"/>
        </w:sectPr>
      </w:pPr>
    </w:p>
    <w:p>
      <w:pPr>
        <w:pStyle w:val="20"/>
        <w:numPr>
          <w:ilvl w:val="0"/>
          <w:numId w:val="0"/>
        </w:numPr>
        <w:spacing w:afterLines="50" w:line="360" w:lineRule="auto"/>
        <w:ind w:left="440" w:leftChars="200"/>
        <w:jc w:val="left"/>
        <w:rPr>
          <w:rFonts w:ascii="Tahoma" w:hAnsi="Tahoma" w:cs="Tahoma"/>
          <w:b w:val="0"/>
          <w:color w:val="000000"/>
          <w:sz w:val="22"/>
          <w:szCs w:val="22"/>
        </w:rPr>
      </w:pPr>
      <w:r>
        <w:rPr>
          <w:rFonts w:ascii="Tahoma" w:hAnsi="Tahoma" w:cs="Tahoma"/>
          <w:b w:val="0"/>
          <w:color w:val="000000"/>
          <w:sz w:val="22"/>
          <w:szCs w:val="22"/>
        </w:rPr>
        <w:t>Program, kegiatan dan indikator kinerja Badan Keuangan Daerah Provinsi Sumatera Barat Tahun 2020 dapat dilihat pada tabel berikut:</w:t>
      </w:r>
    </w:p>
    <w:p>
      <w:pPr>
        <w:pStyle w:val="20"/>
        <w:numPr>
          <w:ilvl w:val="0"/>
          <w:numId w:val="0"/>
        </w:numPr>
        <w:spacing w:afterLines="50"/>
        <w:ind w:left="709"/>
        <w:rPr>
          <w:rFonts w:ascii="Tahoma" w:hAnsi="Tahoma" w:cs="Tahoma"/>
          <w:bCs w:val="0"/>
          <w:color w:val="000000"/>
          <w:sz w:val="22"/>
          <w:szCs w:val="22"/>
          <w:lang w:val="id-ID"/>
        </w:rPr>
      </w:pPr>
    </w:p>
    <w:p>
      <w:pPr>
        <w:pStyle w:val="20"/>
        <w:numPr>
          <w:ilvl w:val="0"/>
          <w:numId w:val="0"/>
        </w:numPr>
        <w:spacing w:afterLines="50"/>
        <w:ind w:left="709"/>
        <w:rPr>
          <w:rFonts w:ascii="Tahoma" w:hAnsi="Tahoma" w:cs="Tahoma"/>
          <w:bCs w:val="0"/>
          <w:color w:val="000000"/>
          <w:sz w:val="22"/>
          <w:szCs w:val="22"/>
        </w:rPr>
      </w:pPr>
      <w:r>
        <w:rPr>
          <w:rFonts w:ascii="Tahoma" w:hAnsi="Tahoma" w:cs="Tahoma"/>
          <w:bCs w:val="0"/>
          <w:color w:val="000000"/>
          <w:sz w:val="22"/>
          <w:szCs w:val="22"/>
          <w:lang w:val="id-ID"/>
        </w:rPr>
        <w:t>Tabel</w:t>
      </w:r>
      <w:r>
        <w:rPr>
          <w:rFonts w:ascii="Tahoma" w:hAnsi="Tahoma" w:cs="Tahoma"/>
          <w:bCs w:val="0"/>
          <w:color w:val="000000"/>
          <w:sz w:val="22"/>
          <w:szCs w:val="22"/>
        </w:rPr>
        <w:t xml:space="preserve"> 2.</w:t>
      </w:r>
      <w:r>
        <w:rPr>
          <w:rFonts w:hint="default" w:ascii="Tahoma" w:hAnsi="Tahoma" w:cs="Tahoma"/>
          <w:bCs w:val="0"/>
          <w:color w:val="000000"/>
          <w:sz w:val="22"/>
          <w:szCs w:val="22"/>
          <w:lang w:val="en-US"/>
        </w:rPr>
        <w:t>2</w:t>
      </w:r>
    </w:p>
    <w:p>
      <w:pPr>
        <w:pStyle w:val="4"/>
        <w:spacing w:before="0" w:line="240" w:lineRule="auto"/>
        <w:ind w:right="7" w:firstLine="720"/>
        <w:jc w:val="center"/>
        <w:rPr>
          <w:rFonts w:ascii="Tahoma" w:hAnsi="Tahoma" w:cs="Tahoma"/>
          <w:b/>
          <w:bCs/>
          <w:color w:val="auto"/>
        </w:rPr>
      </w:pPr>
      <w:r>
        <w:rPr>
          <w:rFonts w:ascii="Tahoma" w:hAnsi="Tahoma" w:cs="Tahoma"/>
          <w:b/>
          <w:bCs/>
          <w:color w:val="auto"/>
          <w:sz w:val="24"/>
          <w:szCs w:val="24"/>
        </w:rPr>
        <w:t>P</w:t>
      </w:r>
      <w:r>
        <w:rPr>
          <w:rFonts w:ascii="Tahoma" w:hAnsi="Tahoma" w:cs="Tahoma"/>
          <w:b/>
          <w:bCs/>
          <w:color w:val="auto"/>
        </w:rPr>
        <w:t>rogram, Kegiatan, dan Indikator Kinerja</w:t>
      </w:r>
    </w:p>
    <w:p>
      <w:pPr>
        <w:spacing w:line="240" w:lineRule="auto"/>
        <w:jc w:val="center"/>
      </w:pPr>
      <w:r>
        <w:rPr>
          <w:rFonts w:ascii="Tahoma" w:hAnsi="Tahoma" w:cs="Tahoma"/>
          <w:b/>
          <w:bCs/>
        </w:rPr>
        <w:t>Badan Keuangan Daerah Provinsi Sumatera Barat Tahun 2020</w:t>
      </w:r>
    </w:p>
    <w:tbl>
      <w:tblPr>
        <w:tblStyle w:val="7"/>
        <w:tblW w:w="9627" w:type="dxa"/>
        <w:tblInd w:w="108" w:type="dxa"/>
        <w:shd w:val="clear" w:color="auto" w:fill="FFFFFF" w:themeFill="background1"/>
        <w:tblLayout w:type="fixed"/>
        <w:tblCellMar>
          <w:top w:w="0" w:type="dxa"/>
          <w:left w:w="108" w:type="dxa"/>
          <w:bottom w:w="0" w:type="dxa"/>
          <w:right w:w="108" w:type="dxa"/>
        </w:tblCellMar>
      </w:tblPr>
      <w:tblGrid>
        <w:gridCol w:w="726"/>
        <w:gridCol w:w="554"/>
        <w:gridCol w:w="2303"/>
        <w:gridCol w:w="3286"/>
        <w:gridCol w:w="1179"/>
        <w:gridCol w:w="1579"/>
      </w:tblGrid>
      <w:tr>
        <w:tblPrEx>
          <w:shd w:val="clear" w:color="auto" w:fill="FFFFFF" w:themeFill="background1"/>
          <w:tblCellMar>
            <w:top w:w="0" w:type="dxa"/>
            <w:left w:w="108" w:type="dxa"/>
            <w:bottom w:w="0" w:type="dxa"/>
            <w:right w:w="108" w:type="dxa"/>
          </w:tblCellMar>
        </w:tblPrEx>
        <w:trPr>
          <w:trHeight w:val="669" w:hRule="atLeast"/>
          <w:tblHeader/>
        </w:trPr>
        <w:tc>
          <w:tcPr>
            <w:tcW w:w="726" w:type="dxa"/>
            <w:tcBorders>
              <w:top w:val="single" w:color="auto" w:sz="8" w:space="0"/>
              <w:left w:val="single" w:color="auto" w:sz="8" w:space="0"/>
              <w:bottom w:val="single" w:color="000000" w:sz="8" w:space="0"/>
              <w:right w:val="single" w:color="auto" w:sz="8" w:space="0"/>
            </w:tcBorders>
            <w:shd w:val="clear" w:color="auto" w:fill="D6E3BC" w:themeFill="accent3" w:themeFillTint="66"/>
          </w:tcPr>
          <w:p>
            <w:pPr>
              <w:jc w:val="center"/>
              <w:rPr>
                <w:rFonts w:ascii="Tahoma" w:hAnsi="Tahoma" w:eastAsia="Times New Roman" w:cs="Tahoma"/>
                <w:b/>
                <w:bCs/>
                <w:color w:val="000000" w:themeColor="text1"/>
                <w:sz w:val="20"/>
                <w:szCs w:val="20"/>
                <w14:textFill>
                  <w14:solidFill>
                    <w14:schemeClr w14:val="tx1"/>
                  </w14:solidFill>
                </w14:textFill>
              </w:rPr>
            </w:pPr>
          </w:p>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NO</w:t>
            </w:r>
          </w:p>
        </w:tc>
        <w:tc>
          <w:tcPr>
            <w:tcW w:w="554" w:type="dxa"/>
            <w:tcBorders>
              <w:top w:val="single" w:color="auto" w:sz="8" w:space="0"/>
              <w:left w:val="nil"/>
              <w:bottom w:val="single" w:color="auto" w:sz="4" w:space="0"/>
              <w:right w:val="nil"/>
            </w:tcBorders>
            <w:shd w:val="clear" w:color="auto" w:fill="D6E3BC" w:themeFill="accent3" w:themeFillTint="66"/>
            <w:vAlign w:val="center"/>
          </w:tcPr>
          <w:p>
            <w:pPr>
              <w:jc w:val="center"/>
              <w:rPr>
                <w:rFonts w:ascii="Tahoma" w:hAnsi="Tahoma" w:eastAsia="Times New Roman" w:cs="Tahoma"/>
                <w:b/>
                <w:bCs/>
                <w:color w:val="000000" w:themeColor="text1"/>
                <w:sz w:val="20"/>
                <w:szCs w:val="20"/>
                <w14:textFill>
                  <w14:solidFill>
                    <w14:schemeClr w14:val="tx1"/>
                  </w14:solidFill>
                </w14:textFill>
              </w:rPr>
            </w:pPr>
          </w:p>
          <w:p>
            <w:pPr>
              <w:jc w:val="center"/>
              <w:rPr>
                <w:rFonts w:ascii="Tahoma" w:hAnsi="Tahoma" w:eastAsia="Times New Roman" w:cs="Tahoma"/>
                <w:b/>
                <w:bCs/>
                <w:color w:val="000000" w:themeColor="text1"/>
                <w:sz w:val="20"/>
                <w:szCs w:val="20"/>
                <w14:textFill>
                  <w14:solidFill>
                    <w14:schemeClr w14:val="tx1"/>
                  </w14:solidFill>
                </w14:textFill>
              </w:rPr>
            </w:pPr>
          </w:p>
        </w:tc>
        <w:tc>
          <w:tcPr>
            <w:tcW w:w="2303" w:type="dxa"/>
            <w:tcBorders>
              <w:top w:val="single" w:color="auto" w:sz="8" w:space="0"/>
              <w:left w:val="nil"/>
              <w:bottom w:val="single" w:color="auto" w:sz="4" w:space="0"/>
              <w:right w:val="single" w:color="auto" w:sz="8" w:space="0"/>
            </w:tcBorders>
            <w:shd w:val="clear" w:color="auto" w:fill="D6E3BC" w:themeFill="accent3" w:themeFillTint="66"/>
            <w:vAlign w:val="center"/>
          </w:tcPr>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PROGRAM/ KEGIATAN</w:t>
            </w:r>
          </w:p>
        </w:tc>
        <w:tc>
          <w:tcPr>
            <w:tcW w:w="3286" w:type="dxa"/>
            <w:tcBorders>
              <w:top w:val="single" w:color="auto" w:sz="8" w:space="0"/>
              <w:left w:val="single" w:color="auto" w:sz="8" w:space="0"/>
              <w:bottom w:val="single" w:color="000000" w:sz="8" w:space="0"/>
              <w:right w:val="single" w:color="auto" w:sz="8" w:space="0"/>
            </w:tcBorders>
            <w:shd w:val="clear" w:color="auto" w:fill="D6E3BC" w:themeFill="accent3" w:themeFillTint="66"/>
            <w:vAlign w:val="center"/>
          </w:tcPr>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INDIKATOR KINERJA KEGIATAN</w:t>
            </w:r>
          </w:p>
        </w:tc>
        <w:tc>
          <w:tcPr>
            <w:tcW w:w="1179" w:type="dxa"/>
            <w:tcBorders>
              <w:top w:val="single" w:color="auto" w:sz="8" w:space="0"/>
              <w:left w:val="single" w:color="auto" w:sz="8" w:space="0"/>
              <w:bottom w:val="single" w:color="000000" w:sz="8" w:space="0"/>
              <w:right w:val="single" w:color="auto" w:sz="8" w:space="0"/>
            </w:tcBorders>
            <w:shd w:val="clear" w:color="auto" w:fill="D6E3BC" w:themeFill="accent3" w:themeFillTint="66"/>
            <w:vAlign w:val="center"/>
          </w:tcPr>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SATUAN</w:t>
            </w:r>
          </w:p>
        </w:tc>
        <w:tc>
          <w:tcPr>
            <w:tcW w:w="1579" w:type="dxa"/>
            <w:tcBorders>
              <w:top w:val="single" w:color="auto" w:sz="8" w:space="0"/>
              <w:left w:val="single" w:color="auto" w:sz="8" w:space="0"/>
              <w:bottom w:val="single" w:color="000000" w:sz="8" w:space="0"/>
              <w:right w:val="single" w:color="auto" w:sz="8" w:space="0"/>
            </w:tcBorders>
            <w:shd w:val="clear" w:color="auto" w:fill="D6E3BC" w:themeFill="accent3" w:themeFillTint="66"/>
            <w:vAlign w:val="center"/>
          </w:tcPr>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18"/>
                <w:szCs w:val="18"/>
                <w14:textFill>
                  <w14:solidFill>
                    <w14:schemeClr w14:val="tx1"/>
                  </w14:solidFill>
                </w14:textFill>
              </w:rPr>
              <w:t>RENCANA CAPAIAN TARGET</w:t>
            </w:r>
          </w:p>
        </w:tc>
      </w:tr>
      <w:tr>
        <w:tblPrEx>
          <w:shd w:val="clear" w:color="auto" w:fill="FFFFFF" w:themeFill="background1"/>
          <w:tblCellMar>
            <w:top w:w="0" w:type="dxa"/>
            <w:left w:w="108" w:type="dxa"/>
            <w:bottom w:w="0" w:type="dxa"/>
            <w:right w:w="108" w:type="dxa"/>
          </w:tblCellMar>
        </w:tblPrEx>
        <w:trPr>
          <w:trHeight w:val="686" w:hRule="atLeast"/>
        </w:trPr>
        <w:tc>
          <w:tcPr>
            <w:tcW w:w="726" w:type="dxa"/>
            <w:vMerge w:val="restart"/>
            <w:tcBorders>
              <w:top w:val="nil"/>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I</w:t>
            </w:r>
          </w:p>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 </w:t>
            </w:r>
          </w:p>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 </w:t>
            </w:r>
          </w:p>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 </w:t>
            </w:r>
          </w:p>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 </w:t>
            </w:r>
          </w:p>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 </w:t>
            </w:r>
          </w:p>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 </w:t>
            </w:r>
          </w:p>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 </w:t>
            </w:r>
          </w:p>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 </w:t>
            </w:r>
          </w:p>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 </w:t>
            </w:r>
          </w:p>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 </w:t>
            </w:r>
          </w:p>
        </w:tc>
        <w:tc>
          <w:tcPr>
            <w:tcW w:w="554" w:type="dxa"/>
            <w:tcBorders>
              <w:top w:val="single" w:color="auto" w:sz="4" w:space="0"/>
              <w:left w:val="nil"/>
              <w:bottom w:val="single" w:color="auto" w:sz="8" w:space="0"/>
              <w:right w:val="nil"/>
            </w:tcBorders>
            <w:shd w:val="clear" w:color="auto" w:fill="FDEADA" w:themeFill="accent6" w:themeFillTint="32"/>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w:t>
            </w:r>
          </w:p>
        </w:tc>
        <w:tc>
          <w:tcPr>
            <w:tcW w:w="2303" w:type="dxa"/>
            <w:tcBorders>
              <w:top w:val="single" w:color="auto" w:sz="4" w:space="0"/>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PROGRAM PELAYANAN ADMINISTRASI PERKANTORAN</w:t>
            </w:r>
          </w:p>
        </w:tc>
        <w:tc>
          <w:tcPr>
            <w:tcW w:w="3286"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Tercapainya pelayanan administrasi perkantoran untuk kepentingan dinas</w:t>
            </w:r>
          </w:p>
        </w:tc>
        <w:tc>
          <w:tcPr>
            <w:tcW w:w="1179"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w:t>
            </w:r>
          </w:p>
        </w:tc>
        <w:tc>
          <w:tcPr>
            <w:tcW w:w="1579" w:type="dxa"/>
            <w:tcBorders>
              <w:top w:val="nil"/>
              <w:left w:val="nil"/>
              <w:bottom w:val="single" w:color="auto" w:sz="8" w:space="0"/>
              <w:right w:val="single" w:color="auto" w:sz="8" w:space="0"/>
            </w:tcBorders>
            <w:shd w:val="clear" w:color="auto" w:fill="FDEADA" w:themeFill="accent6" w:themeFillTint="32"/>
          </w:tcPr>
          <w:p>
            <w:pPr>
              <w:jc w:val="cente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20%</w:t>
            </w:r>
          </w:p>
        </w:tc>
      </w:tr>
      <w:tr>
        <w:tblPrEx>
          <w:tblCellMar>
            <w:top w:w="0" w:type="dxa"/>
            <w:left w:w="108" w:type="dxa"/>
            <w:bottom w:w="0" w:type="dxa"/>
            <w:right w:w="108" w:type="dxa"/>
          </w:tblCellMar>
        </w:tblPrEx>
        <w:trPr>
          <w:trHeight w:val="90"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Penyediaan Jasa Surat Menyurat</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Terkirimnya surat menyurat ke instansi/lembaga terkait</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bulan</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12</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2</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Penyediaan Jasa Komunikasi Sumber Daya Air dan Listrik</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xml:space="preserve">Terpenuhinya pembayaran tagihan jasa telekomunikasi, air dan listrik </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bulan</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12</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3</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Penyediaan Jasa Kebersihan, Pengamanan dan Sopir Kantor</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Terpeliharanya kebersihan, keamanan dan pelayanan kantor berupa penyediaan pengaman kantor, petugas kebersihan dan sopir</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orang</w:t>
            </w:r>
          </w:p>
        </w:tc>
        <w:tc>
          <w:tcPr>
            <w:tcW w:w="1579" w:type="dxa"/>
            <w:tcBorders>
              <w:top w:val="nil"/>
              <w:left w:val="nil"/>
              <w:bottom w:val="single" w:color="auto" w:sz="8" w:space="0"/>
              <w:right w:val="single" w:color="auto" w:sz="8" w:space="0"/>
            </w:tcBorders>
            <w:shd w:val="clear" w:color="auto" w:fill="FFFFFF" w:themeFill="background1"/>
          </w:tcPr>
          <w:p>
            <w:pPr>
              <w:spacing w:after="0"/>
              <w:ind w:left="200" w:hanging="200" w:hangingChars="100"/>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- 41 pengaman kantor;</w:t>
            </w:r>
          </w:p>
          <w:p>
            <w:pPr>
              <w:spacing w:after="0"/>
              <w:ind w:left="200" w:hanging="200" w:hangingChars="100"/>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- 57 petugas kebersihan;</w:t>
            </w:r>
          </w:p>
          <w:p>
            <w:pPr>
              <w:spacing w:after="0"/>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- 27 sopir</w:t>
            </w:r>
          </w:p>
          <w:p>
            <w:pPr>
              <w:spacing w:after="0" w:line="240" w:lineRule="auto"/>
              <w:jc w:val="center"/>
              <w:rPr>
                <w:rFonts w:ascii="Tahoma" w:hAnsi="Tahoma" w:eastAsia="Times New Roman" w:cs="Tahoma"/>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4</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Penyediaan Jasa Jaminan Barang Milik Daerah</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xml:space="preserve">Terlaksananya premi asuransi barang milik daerah </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tahun</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5</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Penyediaan Alat Tulis Kantor</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Tersedianya alat tulis kantor dalam rangka pelayanan administrasi kantor</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bulan</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12</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6</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Penyediaan Barang Cetakan dan Penggandaan</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Tersedianya barang cetakan dan penggandaan dalam rangka peningkatan pelayanan administrasi kantor dan pajak daerah</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bulan</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12</w:t>
            </w: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7</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Penyediaan Komponen Instalasi Listrik/Penerangan Bangunan Kantor</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xml:space="preserve">Tersedianya komponen instalasi listrik kantor </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bulan</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12</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lang w:val="id-ID"/>
                <w14:textFill>
                  <w14:solidFill>
                    <w14:schemeClr w14:val="tx1"/>
                  </w14:solidFill>
                </w14:textFill>
              </w:rPr>
              <w:t>8</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Penyediaan Bahan Bacaan dan Peraturan Perundang-Undangan</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Tersedianya bahan bacaan yang dibutuhkan berupa koran, warta perundang-undangan dan majalan</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eksemplar</w:t>
            </w:r>
          </w:p>
        </w:tc>
        <w:tc>
          <w:tcPr>
            <w:tcW w:w="1579" w:type="dxa"/>
            <w:tcBorders>
              <w:top w:val="nil"/>
              <w:left w:val="nil"/>
              <w:bottom w:val="single" w:color="auto" w:sz="8" w:space="0"/>
              <w:right w:val="single" w:color="auto" w:sz="8" w:space="0"/>
            </w:tcBorders>
            <w:shd w:val="clear" w:color="auto" w:fill="FFFFFF" w:themeFill="background1"/>
          </w:tcPr>
          <w:p>
            <w:pPr>
              <w:spacing w:after="0"/>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- 432 koran;</w:t>
            </w:r>
          </w:p>
          <w:p>
            <w:pPr>
              <w:spacing w:after="0"/>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- 12 warta;</w:t>
            </w:r>
          </w:p>
          <w:p>
            <w:pPr>
              <w:spacing w:after="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- 24 majalah</w:t>
            </w:r>
          </w:p>
        </w:tc>
      </w:tr>
      <w:tr>
        <w:tblPrEx>
          <w:tblCellMar>
            <w:top w:w="0" w:type="dxa"/>
            <w:left w:w="108" w:type="dxa"/>
            <w:bottom w:w="0" w:type="dxa"/>
            <w:right w:w="108" w:type="dxa"/>
          </w:tblCellMar>
        </w:tblPrEx>
        <w:trPr>
          <w:trHeight w:val="300"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single" w:color="auto" w:sz="8" w:space="0"/>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9</w:t>
            </w:r>
          </w:p>
        </w:tc>
        <w:tc>
          <w:tcPr>
            <w:tcW w:w="2303" w:type="dxa"/>
            <w:tcBorders>
              <w:top w:val="single" w:color="auto" w:sz="8" w:space="0"/>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Rapat-rapat Koordinasi dan Konsultasi Dalam dan Luar Daerah</w:t>
            </w:r>
          </w:p>
        </w:tc>
        <w:tc>
          <w:tcPr>
            <w:tcW w:w="3286" w:type="dxa"/>
            <w:tcBorders>
              <w:top w:val="single" w:color="auto" w:sz="8" w:space="0"/>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Terlaksananya koordinasi dan konsultasi dalam daerah dan luar daerah</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kegiatan</w:t>
            </w:r>
          </w:p>
        </w:tc>
        <w:tc>
          <w:tcPr>
            <w:tcW w:w="1579" w:type="dxa"/>
            <w:tcBorders>
              <w:top w:val="nil"/>
              <w:left w:val="nil"/>
              <w:bottom w:val="single" w:color="auto" w:sz="8" w:space="0"/>
              <w:right w:val="single" w:color="auto" w:sz="8" w:space="0"/>
            </w:tcBorders>
            <w:shd w:val="clear" w:color="auto" w:fill="FFFFFF" w:themeFill="background1"/>
          </w:tcPr>
          <w:p>
            <w:pPr>
              <w:spacing w:after="0" w:line="240" w:lineRule="auto"/>
              <w:ind w:left="200" w:hanging="200" w:hangingChars="100"/>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- 44 dalam daerah;</w:t>
            </w:r>
          </w:p>
          <w:p>
            <w:pPr>
              <w:spacing w:after="0" w:line="240" w:lineRule="auto"/>
              <w:ind w:left="200" w:hanging="200" w:hangingChars="100"/>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xml:space="preserve">- 44 luar daerah </w:t>
            </w:r>
          </w:p>
        </w:tc>
      </w:tr>
      <w:tr>
        <w:tblPrEx>
          <w:tblCellMar>
            <w:top w:w="0" w:type="dxa"/>
            <w:left w:w="108" w:type="dxa"/>
            <w:bottom w:w="0" w:type="dxa"/>
            <w:right w:w="108" w:type="dxa"/>
          </w:tblCellMar>
        </w:tblPrEx>
        <w:trPr>
          <w:trHeight w:val="300"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single" w:color="auto" w:sz="8" w:space="0"/>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10</w:t>
            </w:r>
          </w:p>
        </w:tc>
        <w:tc>
          <w:tcPr>
            <w:tcW w:w="2303" w:type="dxa"/>
            <w:tcBorders>
              <w:top w:val="single" w:color="auto" w:sz="8" w:space="0"/>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Penyediaan Makanan dan Minuman</w:t>
            </w:r>
          </w:p>
        </w:tc>
        <w:tc>
          <w:tcPr>
            <w:tcW w:w="3286" w:type="dxa"/>
            <w:tcBorders>
              <w:top w:val="single" w:color="auto" w:sz="8" w:space="0"/>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Tersedianya makan minum rapat berupa makanan kotak dan snack kotak</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kotak</w:t>
            </w:r>
          </w:p>
        </w:tc>
        <w:tc>
          <w:tcPr>
            <w:tcW w:w="1579" w:type="dxa"/>
            <w:tcBorders>
              <w:top w:val="nil"/>
              <w:left w:val="nil"/>
              <w:bottom w:val="single" w:color="auto" w:sz="8" w:space="0"/>
              <w:right w:val="single" w:color="auto" w:sz="8" w:space="0"/>
            </w:tcBorders>
            <w:shd w:val="clear" w:color="auto" w:fill="FFFFFF" w:themeFill="background1"/>
          </w:tcPr>
          <w:p>
            <w:pPr>
              <w:spacing w:after="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- 2380 makan;</w:t>
            </w:r>
          </w:p>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- 2380 snack</w:t>
            </w: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11</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Penyediaan Jasa Informasi, Dokumentasi dan Publikasi</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Terpenuhinya jasa dokumentasi dan informasi berupa publikasi</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kali</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4</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bottom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12</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Penyediaan Jasa Pembinaan Fisik dan Mental Aparatur</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Terlaksananya pembinaan fisik dan mental aparatur</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kali</w:t>
            </w:r>
          </w:p>
        </w:tc>
        <w:tc>
          <w:tcPr>
            <w:tcW w:w="1579" w:type="dxa"/>
            <w:tcBorders>
              <w:top w:val="nil"/>
              <w:left w:val="nil"/>
              <w:bottom w:val="single" w:color="auto" w:sz="8" w:space="0"/>
              <w:right w:val="single" w:color="auto" w:sz="8" w:space="0"/>
            </w:tcBorders>
            <w:shd w:val="clear" w:color="auto" w:fill="FFFFFF" w:themeFill="background1"/>
          </w:tcPr>
          <w:p>
            <w:pPr>
              <w:spacing w:after="0"/>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33;</w:t>
            </w:r>
          </w:p>
          <w:p>
            <w:pPr>
              <w:spacing w:after="0"/>
              <w:jc w:val="center"/>
              <w:rPr>
                <w:rFonts w:ascii="Tahoma" w:hAnsi="Tahoma" w:eastAsia="Times New Roman" w:cs="Tahoma"/>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516" w:hRule="atLeast"/>
        </w:trPr>
        <w:tc>
          <w:tcPr>
            <w:tcW w:w="726" w:type="dxa"/>
            <w:vMerge w:val="restart"/>
            <w:tcBorders>
              <w:top w:val="nil"/>
              <w:left w:val="single" w:color="auto" w:sz="8" w:space="0"/>
              <w:right w:val="single" w:color="auto" w:sz="8" w:space="0"/>
            </w:tcBorders>
            <w:shd w:val="clear" w:color="auto" w:fill="FFFFFF" w:themeFill="background1"/>
            <w:noWrap/>
          </w:tcPr>
          <w:p>
            <w:pPr>
              <w:jc w:val="center"/>
              <w:rPr>
                <w:rFonts w:hint="default" w:ascii="Tahoma" w:hAnsi="Tahoma" w:eastAsia="Times New Roman" w:cs="Tahoma"/>
                <w:b/>
                <w:bCs/>
                <w:color w:val="000000" w:themeColor="text1"/>
                <w:sz w:val="20"/>
                <w:szCs w:val="20"/>
                <w:lang w:val="en-US"/>
                <w14:textFill>
                  <w14:solidFill>
                    <w14:schemeClr w14:val="tx1"/>
                  </w14:solidFill>
                </w14:textFill>
              </w:rPr>
            </w:pPr>
            <w:r>
              <w:rPr>
                <w:rFonts w:hint="default" w:ascii="Tahoma" w:hAnsi="Tahoma" w:eastAsia="Times New Roman" w:cs="Tahoma"/>
                <w:b/>
                <w:bCs/>
                <w:color w:val="000000" w:themeColor="text1"/>
                <w:sz w:val="20"/>
                <w:szCs w:val="20"/>
                <w:lang w:val="en-US"/>
                <w14:textFill>
                  <w14:solidFill>
                    <w14:schemeClr w14:val="tx1"/>
                  </w14:solidFill>
                </w14:textFill>
              </w:rPr>
              <w:t>II</w:t>
            </w:r>
          </w:p>
        </w:tc>
        <w:tc>
          <w:tcPr>
            <w:tcW w:w="554" w:type="dxa"/>
            <w:tcBorders>
              <w:top w:val="nil"/>
              <w:left w:val="nil"/>
              <w:bottom w:val="single" w:color="auto" w:sz="8" w:space="0"/>
              <w:right w:val="nil"/>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p>
        </w:tc>
        <w:tc>
          <w:tcPr>
            <w:tcW w:w="2303"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PROGRAM PENINGKATAN SARANA DAN PRASARANA APARATUR</w:t>
            </w:r>
          </w:p>
        </w:tc>
        <w:tc>
          <w:tcPr>
            <w:tcW w:w="3286"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Meningkatnya pelayanan sarana dan prasarana aparatur</w:t>
            </w:r>
          </w:p>
        </w:tc>
        <w:tc>
          <w:tcPr>
            <w:tcW w:w="1179"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 </w:t>
            </w:r>
          </w:p>
        </w:tc>
        <w:tc>
          <w:tcPr>
            <w:tcW w:w="1579" w:type="dxa"/>
            <w:tcBorders>
              <w:top w:val="nil"/>
              <w:left w:val="nil"/>
              <w:bottom w:val="single" w:color="auto" w:sz="8" w:space="0"/>
              <w:right w:val="single" w:color="auto" w:sz="8" w:space="0"/>
            </w:tcBorders>
            <w:shd w:val="clear" w:color="auto" w:fill="FDEADA" w:themeFill="accent6" w:themeFillTint="32"/>
          </w:tcPr>
          <w:p>
            <w:pPr>
              <w:jc w:val="cente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20%</w:t>
            </w: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Pengadaan Meubiler</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Tersedianya meubiler kantor, diantaranya kursi tunggu, rak file, dan lain-lain</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unit</w:t>
            </w:r>
          </w:p>
        </w:tc>
        <w:tc>
          <w:tcPr>
            <w:tcW w:w="1579" w:type="dxa"/>
            <w:tcBorders>
              <w:top w:val="nil"/>
              <w:left w:val="nil"/>
              <w:bottom w:val="single" w:color="auto" w:sz="8" w:space="0"/>
              <w:right w:val="single" w:color="auto" w:sz="8" w:space="0"/>
            </w:tcBorders>
            <w:shd w:val="clear" w:color="auto" w:fill="FFFFFF" w:themeFill="background1"/>
          </w:tcPr>
          <w:p>
            <w:pPr>
              <w:spacing w:after="0" w:line="240" w:lineRule="auto"/>
              <w:ind w:left="200" w:hanging="200" w:hangingChars="100"/>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- 20 kursi tunggu;</w:t>
            </w:r>
          </w:p>
          <w:p>
            <w:pPr>
              <w:spacing w:after="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- 5 rak file;</w:t>
            </w:r>
          </w:p>
          <w:p>
            <w:pPr>
              <w:rPr>
                <w:rFonts w:ascii="Tahoma" w:hAnsi="Tahoma" w:eastAsia="Times New Roman" w:cs="Tahoma"/>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2</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Pengadaan Peralatan dan Perlengkapan Kantor</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Tersedianya peralatan dan perlengkapan kantor, diantaranya genset,  lemari besi, dan lain-lain</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unit</w:t>
            </w:r>
          </w:p>
        </w:tc>
        <w:tc>
          <w:tcPr>
            <w:tcW w:w="1579" w:type="dxa"/>
            <w:tcBorders>
              <w:top w:val="nil"/>
              <w:left w:val="nil"/>
              <w:bottom w:val="single" w:color="auto" w:sz="8" w:space="0"/>
              <w:right w:val="single" w:color="auto" w:sz="8" w:space="0"/>
            </w:tcBorders>
            <w:shd w:val="clear" w:color="auto" w:fill="FFFFFF" w:themeFill="background1"/>
          </w:tcPr>
          <w:p>
            <w:pPr>
              <w:spacing w:after="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- 3 genset;</w:t>
            </w:r>
          </w:p>
          <w:p>
            <w:pPr>
              <w:spacing w:after="0" w:line="240" w:lineRule="auto"/>
              <w:ind w:left="200" w:hanging="200" w:hangingChars="100"/>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- 10 lemari besi</w:t>
            </w: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3</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Pemeliharaan Rutin/Berkala Gedung Kantor</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Terlaksananya pemeliharaan gedung kantor yang lebih baik</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tahun</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4</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Pemeliharaan Rutin/Berkala Kendaraan  Dinas/Operasional</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Terlaksananya pemeliharaan kendaraan dinas operasional yang layak pakai berupa kendaraan roda empat, kendaraan roda dua, dan bus Samkel</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unit</w:t>
            </w:r>
          </w:p>
        </w:tc>
        <w:tc>
          <w:tcPr>
            <w:tcW w:w="1579" w:type="dxa"/>
            <w:tcBorders>
              <w:top w:val="nil"/>
              <w:left w:val="nil"/>
              <w:bottom w:val="single" w:color="auto" w:sz="8" w:space="0"/>
              <w:right w:val="single" w:color="auto" w:sz="8" w:space="0"/>
            </w:tcBorders>
            <w:shd w:val="clear" w:color="auto" w:fill="FFFFFF" w:themeFill="background1"/>
          </w:tcPr>
          <w:p>
            <w:pPr>
              <w:spacing w:after="0" w:line="240" w:lineRule="auto"/>
              <w:ind w:left="200" w:hanging="200" w:hangingChars="100"/>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- 34 roda empat;</w:t>
            </w:r>
          </w:p>
          <w:p>
            <w:pPr>
              <w:spacing w:after="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- 20 roda dua;</w:t>
            </w:r>
          </w:p>
          <w:p>
            <w:pPr>
              <w:ind w:left="200" w:hanging="200" w:hangingChars="100"/>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- 13 bus Samkel</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5</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Pemeliharaan Rutin/Berkala Peralatan/Perlengkapan kantor</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Terpeliharanya peralatan dan perlengkapan kantor dengan baik, diantaranya telepon, TV, dan lain-lain</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unit</w:t>
            </w:r>
          </w:p>
        </w:tc>
        <w:tc>
          <w:tcPr>
            <w:tcW w:w="1579" w:type="dxa"/>
            <w:tcBorders>
              <w:top w:val="nil"/>
              <w:left w:val="nil"/>
              <w:bottom w:val="single" w:color="auto" w:sz="8" w:space="0"/>
              <w:right w:val="single" w:color="auto" w:sz="8" w:space="0"/>
            </w:tcBorders>
            <w:shd w:val="clear" w:color="auto" w:fill="FFFFFF" w:themeFill="background1"/>
          </w:tcPr>
          <w:p>
            <w:pPr>
              <w:spacing w:after="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- 18 telepon;</w:t>
            </w:r>
          </w:p>
          <w:p>
            <w:pPr>
              <w:spacing w:after="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- 32 TV</w:t>
            </w:r>
          </w:p>
          <w:p>
            <w:pPr>
              <w:jc w:val="center"/>
              <w:rPr>
                <w:rFonts w:ascii="Tahoma" w:hAnsi="Tahoma" w:eastAsia="Times New Roman" w:cs="Tahoma"/>
                <w:color w:val="000000" w:themeColor="text1"/>
                <w:sz w:val="20"/>
                <w:szCs w:val="20"/>
                <w14:textFill>
                  <w14:solidFill>
                    <w14:schemeClr w14:val="tx1"/>
                  </w14:solidFill>
                </w14:textFill>
              </w:rPr>
            </w:pP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6</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Rehabilitasi Sedang/Berat Gedung Kantor</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Terlaksananya perbaikan sedang/berat gedung kantor</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unit</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2</w:t>
            </w: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7</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Pemeliharaan Rutin/Berkala Instalasi dan Jaringan</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Terpenuhinya kebutuhan pemeliharaan jaringan listrik, telepon, dan air</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tahun</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w:t>
            </w: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8</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Pembangunan Gedung Kantor</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Tersedianya pembangunan kantor UPTD/Samsat</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DED</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w:t>
            </w: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restart"/>
            <w:tcBorders>
              <w:top w:val="nil"/>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III</w:t>
            </w:r>
          </w:p>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 </w:t>
            </w:r>
          </w:p>
        </w:tc>
        <w:tc>
          <w:tcPr>
            <w:tcW w:w="554" w:type="dxa"/>
            <w:tcBorders>
              <w:top w:val="nil"/>
              <w:left w:val="nil"/>
              <w:bottom w:val="single" w:color="auto" w:sz="8" w:space="0"/>
              <w:right w:val="nil"/>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 </w:t>
            </w:r>
          </w:p>
        </w:tc>
        <w:tc>
          <w:tcPr>
            <w:tcW w:w="2303"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PROGRAM PENINGKATAN DISIPLIN APARATUR</w:t>
            </w:r>
          </w:p>
        </w:tc>
        <w:tc>
          <w:tcPr>
            <w:tcW w:w="3286"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Meningkatnya disiplin dan etos kerja aparatur</w:t>
            </w:r>
          </w:p>
        </w:tc>
        <w:tc>
          <w:tcPr>
            <w:tcW w:w="1179"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 </w:t>
            </w:r>
          </w:p>
        </w:tc>
        <w:tc>
          <w:tcPr>
            <w:tcW w:w="1579" w:type="dxa"/>
            <w:tcBorders>
              <w:top w:val="nil"/>
              <w:left w:val="nil"/>
              <w:bottom w:val="single" w:color="auto" w:sz="8" w:space="0"/>
              <w:right w:val="single" w:color="auto" w:sz="8" w:space="0"/>
            </w:tcBorders>
            <w:shd w:val="clear" w:color="auto" w:fill="FDEADA" w:themeFill="accent6" w:themeFillTint="32"/>
          </w:tcPr>
          <w:p>
            <w:pPr>
              <w:jc w:val="cente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20%</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bottom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Pengadaan pakaian dinas beserta perlengkapannya</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Tersedianya pengadaan pakaian dinas beserta kelengkapannya</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lang w:val="id-ID"/>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s</w:t>
            </w:r>
            <w:r>
              <w:rPr>
                <w:rFonts w:ascii="Tahoma" w:hAnsi="Tahoma" w:eastAsia="Times New Roman" w:cs="Tahoma"/>
                <w:color w:val="000000" w:themeColor="text1"/>
                <w:sz w:val="20"/>
                <w:szCs w:val="20"/>
                <w:lang w:val="id-ID"/>
                <w14:textFill>
                  <w14:solidFill>
                    <w14:schemeClr w14:val="tx1"/>
                  </w14:solidFill>
                </w14:textFill>
              </w:rPr>
              <w:t>tel</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280</w:t>
            </w:r>
          </w:p>
        </w:tc>
      </w:tr>
      <w:tr>
        <w:tblPrEx>
          <w:tblCellMar>
            <w:top w:w="0" w:type="dxa"/>
            <w:left w:w="108" w:type="dxa"/>
            <w:bottom w:w="0" w:type="dxa"/>
            <w:right w:w="108" w:type="dxa"/>
          </w:tblCellMar>
        </w:tblPrEx>
        <w:trPr>
          <w:trHeight w:val="516" w:hRule="atLeast"/>
        </w:trPr>
        <w:tc>
          <w:tcPr>
            <w:tcW w:w="726" w:type="dxa"/>
            <w:vMerge w:val="restart"/>
            <w:tcBorders>
              <w:top w:val="nil"/>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IV</w:t>
            </w:r>
          </w:p>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 </w:t>
            </w: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PROGRAM PENINGKATAN KAPASITAS SUMBERDAYA APARATUR</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Meningkatnya wawasan dan kemampuan/ kapasitas sumber daya aparatur</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 </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20%</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bottom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1</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Sosialisasi Peraturan dan Perundang-undangan</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Tidak terlaksana karena termasuk kegiatan yang terdampak rasionalisasi penanganan Covid-19</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w:t>
            </w:r>
          </w:p>
        </w:tc>
        <w:tc>
          <w:tcPr>
            <w:tcW w:w="1579" w:type="dxa"/>
            <w:tcBorders>
              <w:top w:val="nil"/>
              <w:left w:val="nil"/>
              <w:bottom w:val="single" w:color="auto" w:sz="8" w:space="0"/>
              <w:right w:val="single" w:color="auto" w:sz="8" w:space="0"/>
            </w:tcBorders>
            <w:shd w:val="clear" w:color="auto" w:fill="FFFFFF" w:themeFill="background1"/>
          </w:tcPr>
          <w:p>
            <w:pPr>
              <w:tabs>
                <w:tab w:val="center" w:pos="459"/>
                <w:tab w:val="left" w:pos="883"/>
              </w:tabs>
              <w:rPr>
                <w:rFonts w:ascii="Tahoma" w:hAnsi="Tahoma" w:eastAsia="Times New Roman" w:cs="Tahoma"/>
                <w:color w:val="auto"/>
                <w:sz w:val="20"/>
                <w:szCs w:val="20"/>
              </w:rPr>
            </w:pPr>
            <w:r>
              <w:rPr>
                <w:rFonts w:ascii="Tahoma" w:hAnsi="Tahoma" w:eastAsia="Times New Roman" w:cs="Tahoma"/>
                <w:color w:val="auto"/>
                <w:sz w:val="20"/>
                <w:szCs w:val="20"/>
              </w:rPr>
              <w:t>-</w:t>
            </w:r>
          </w:p>
        </w:tc>
      </w:tr>
      <w:tr>
        <w:tblPrEx>
          <w:tblCellMar>
            <w:top w:w="0" w:type="dxa"/>
            <w:left w:w="108" w:type="dxa"/>
            <w:bottom w:w="0" w:type="dxa"/>
            <w:right w:w="108" w:type="dxa"/>
          </w:tblCellMar>
        </w:tblPrEx>
        <w:trPr>
          <w:trHeight w:val="516" w:hRule="atLeast"/>
        </w:trPr>
        <w:tc>
          <w:tcPr>
            <w:tcW w:w="726" w:type="dxa"/>
            <w:tcBorders>
              <w:left w:val="single" w:color="auto" w:sz="8" w:space="0"/>
              <w:bottom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2</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 xml:space="preserve">Bimbingan Teknis Implementasi peraturan Perundang-undangan </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Tidak terlaksana karena termasuk kegiatan yang terdampak rasionalisasi penanganan Covid-19</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w:t>
            </w:r>
          </w:p>
        </w:tc>
        <w:tc>
          <w:tcPr>
            <w:tcW w:w="1579" w:type="dxa"/>
            <w:tcBorders>
              <w:top w:val="nil"/>
              <w:left w:val="nil"/>
              <w:bottom w:val="single" w:color="auto" w:sz="8" w:space="0"/>
              <w:right w:val="single" w:color="auto" w:sz="8" w:space="0"/>
            </w:tcBorders>
            <w:shd w:val="clear" w:color="auto" w:fill="FFFFFF" w:themeFill="background1"/>
          </w:tcPr>
          <w:p>
            <w:pPr>
              <w:tabs>
                <w:tab w:val="center" w:pos="459"/>
                <w:tab w:val="left" w:pos="883"/>
              </w:tabs>
              <w:rPr>
                <w:rFonts w:ascii="Tahoma" w:hAnsi="Tahoma" w:eastAsia="Times New Roman" w:cs="Tahoma"/>
                <w:color w:val="auto"/>
                <w:sz w:val="20"/>
                <w:szCs w:val="20"/>
              </w:rPr>
            </w:pPr>
            <w:r>
              <w:rPr>
                <w:rFonts w:ascii="Tahoma" w:hAnsi="Tahoma" w:eastAsia="Times New Roman" w:cs="Tahoma"/>
                <w:color w:val="auto"/>
                <w:sz w:val="20"/>
                <w:szCs w:val="20"/>
              </w:rPr>
              <w:t>-</w:t>
            </w: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restart"/>
            <w:tcBorders>
              <w:top w:val="nil"/>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V</w:t>
            </w:r>
          </w:p>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 </w:t>
            </w: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w:t>
            </w:r>
          </w:p>
        </w:tc>
        <w:tc>
          <w:tcPr>
            <w:tcW w:w="2303"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PROGRAM PENINGKATAN PENGEMBANGAN SISTEM PELAPORAN CAPAIAN KINERJA KEUANGAN</w:t>
            </w:r>
          </w:p>
        </w:tc>
        <w:tc>
          <w:tcPr>
            <w:tcW w:w="3286"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Meningkatnya tertib administrasi keuangan</w:t>
            </w:r>
          </w:p>
        </w:tc>
        <w:tc>
          <w:tcPr>
            <w:tcW w:w="1179"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 </w:t>
            </w:r>
          </w:p>
        </w:tc>
        <w:tc>
          <w:tcPr>
            <w:tcW w:w="1579" w:type="dxa"/>
            <w:tcBorders>
              <w:top w:val="nil"/>
              <w:left w:val="nil"/>
              <w:bottom w:val="single" w:color="auto" w:sz="8" w:space="0"/>
              <w:right w:val="single" w:color="auto" w:sz="8" w:space="0"/>
            </w:tcBorders>
            <w:shd w:val="clear" w:color="auto" w:fill="FDEADA" w:themeFill="accent6" w:themeFillTint="32"/>
          </w:tcPr>
          <w:p>
            <w:pPr>
              <w:jc w:val="cente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20%</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Penyusunan Perencanaandan Penganggaran SKPD</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Tersusunnya laporan penyusunan perencanaan berupa DPA, DPA Pergeseran, DPA Perubahan dan Renja</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dokumen</w:t>
            </w:r>
          </w:p>
        </w:tc>
        <w:tc>
          <w:tcPr>
            <w:tcW w:w="1579" w:type="dxa"/>
            <w:tcBorders>
              <w:top w:val="nil"/>
              <w:left w:val="nil"/>
              <w:bottom w:val="single" w:color="auto" w:sz="8" w:space="0"/>
              <w:right w:val="single" w:color="auto" w:sz="8" w:space="0"/>
            </w:tcBorders>
            <w:shd w:val="clear" w:color="auto" w:fill="FFFFFF" w:themeFill="background1"/>
          </w:tcPr>
          <w:p>
            <w:pPr>
              <w:spacing w:after="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- 50 DPA;</w:t>
            </w:r>
          </w:p>
          <w:p>
            <w:pPr>
              <w:spacing w:after="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- 50 DPA Pergeseran;</w:t>
            </w:r>
          </w:p>
          <w:p>
            <w:pPr>
              <w:spacing w:after="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- 50 DPA Perubahan;</w:t>
            </w:r>
          </w:p>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- 30 Renja</w:t>
            </w: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2</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Penatausahaan Keuangan SKPD</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Tersusunnya laporan bendahara pengeluaran dan laporan keuangan</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C00000"/>
                <w:sz w:val="20"/>
                <w:szCs w:val="20"/>
              </w:rPr>
            </w:pPr>
            <w:r>
              <w:rPr>
                <w:rFonts w:ascii="Tahoma" w:hAnsi="Tahoma" w:eastAsia="Times New Roman" w:cs="Tahoma"/>
                <w:color w:val="000000" w:themeColor="text1"/>
                <w:sz w:val="20"/>
                <w:szCs w:val="20"/>
                <w14:textFill>
                  <w14:solidFill>
                    <w14:schemeClr w14:val="tx1"/>
                  </w14:solidFill>
                </w14:textFill>
              </w:rPr>
              <w:t>exp</w:t>
            </w:r>
          </w:p>
        </w:tc>
        <w:tc>
          <w:tcPr>
            <w:tcW w:w="1579" w:type="dxa"/>
            <w:tcBorders>
              <w:top w:val="nil"/>
              <w:left w:val="nil"/>
              <w:bottom w:val="single" w:color="auto" w:sz="8" w:space="0"/>
              <w:right w:val="single" w:color="auto" w:sz="8" w:space="0"/>
            </w:tcBorders>
            <w:shd w:val="clear" w:color="auto" w:fill="FFFFFF" w:themeFill="background1"/>
          </w:tcPr>
          <w:p>
            <w:pPr>
              <w:spacing w:after="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- 36 lprn bend. pengeluaran;</w:t>
            </w:r>
          </w:p>
          <w:p>
            <w:pPr>
              <w:spacing w:after="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- 36 laporan keuangan;</w:t>
            </w:r>
          </w:p>
          <w:p>
            <w:pPr>
              <w:spacing w:after="0" w:line="240" w:lineRule="auto"/>
              <w:rPr>
                <w:rFonts w:ascii="Tahoma" w:hAnsi="Tahoma" w:eastAsia="Times New Roman" w:cs="Tahoma"/>
                <w:color w:val="000000" w:themeColor="text1"/>
                <w:sz w:val="20"/>
                <w:szCs w:val="20"/>
                <w14:textFill>
                  <w14:solidFill>
                    <w14:schemeClr w14:val="tx1"/>
                  </w14:solidFill>
                </w14:textFill>
              </w:rPr>
            </w:pPr>
          </w:p>
          <w:p>
            <w:pPr>
              <w:spacing w:after="0" w:line="240" w:lineRule="auto"/>
              <w:rPr>
                <w:rFonts w:ascii="Tahoma" w:hAnsi="Tahoma" w:eastAsia="Times New Roman" w:cs="Tahoma"/>
                <w:color w:val="000000" w:themeColor="text1"/>
                <w:sz w:val="20"/>
                <w:szCs w:val="20"/>
                <w14:textFill>
                  <w14:solidFill>
                    <w14:schemeClr w14:val="tx1"/>
                  </w14:solidFill>
                </w14:textFill>
              </w:rPr>
            </w:pPr>
          </w:p>
        </w:tc>
      </w:tr>
      <w:tr>
        <w:tblPrEx>
          <w:shd w:val="clear" w:color="auto" w:fill="FFFFFF" w:themeFill="background1"/>
          <w:tblCellMar>
            <w:top w:w="0" w:type="dxa"/>
            <w:left w:w="108" w:type="dxa"/>
            <w:bottom w:w="0" w:type="dxa"/>
            <w:right w:w="108" w:type="dxa"/>
          </w:tblCellMar>
        </w:tblPrEx>
        <w:trPr>
          <w:trHeight w:val="90"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3</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Penyusunan Laporan Capaian Kinerja dan Ikhtisar Realisasi Kinerja SKPD</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Tersusunnya laporan capaian kinerja  keuangan program dan kegiatan</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laporan</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w:t>
            </w: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bottom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4</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Pengelolaan, Pengawasan, dan Pengendalian Aset SKPD</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Terlaksananya pengelolaan, pengawasan dan pengendalian aset SKPD</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unit</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19</w:t>
            </w:r>
          </w:p>
        </w:tc>
      </w:tr>
      <w:tr>
        <w:tblPrEx>
          <w:tblCellMar>
            <w:top w:w="0" w:type="dxa"/>
            <w:left w:w="108" w:type="dxa"/>
            <w:bottom w:w="0" w:type="dxa"/>
            <w:right w:w="108" w:type="dxa"/>
          </w:tblCellMar>
        </w:tblPrEx>
        <w:trPr>
          <w:trHeight w:val="516" w:hRule="atLeast"/>
        </w:trPr>
        <w:tc>
          <w:tcPr>
            <w:tcW w:w="726" w:type="dxa"/>
            <w:vMerge w:val="restart"/>
            <w:tcBorders>
              <w:top w:val="nil"/>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VI</w:t>
            </w:r>
          </w:p>
        </w:tc>
        <w:tc>
          <w:tcPr>
            <w:tcW w:w="554" w:type="dxa"/>
            <w:tcBorders>
              <w:top w:val="nil"/>
              <w:left w:val="nil"/>
              <w:bottom w:val="single" w:color="auto" w:sz="8" w:space="0"/>
              <w:right w:val="nil"/>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p>
        </w:tc>
        <w:tc>
          <w:tcPr>
            <w:tcW w:w="2303"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PROGRAM PENINGKATAN KUALITAS PENGELOLAAN KEUANGAN DAERAH</w:t>
            </w:r>
          </w:p>
        </w:tc>
        <w:tc>
          <w:tcPr>
            <w:tcW w:w="3286"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Meningkatnya Kualitas Pengelolaan Keuangan Daerah</w:t>
            </w:r>
          </w:p>
        </w:tc>
        <w:tc>
          <w:tcPr>
            <w:tcW w:w="1179"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p>
        </w:tc>
        <w:tc>
          <w:tcPr>
            <w:tcW w:w="1579" w:type="dxa"/>
            <w:tcBorders>
              <w:top w:val="nil"/>
              <w:left w:val="nil"/>
              <w:bottom w:val="single" w:color="auto" w:sz="8" w:space="0"/>
              <w:right w:val="single" w:color="auto" w:sz="8" w:space="0"/>
            </w:tcBorders>
            <w:shd w:val="clear" w:color="auto" w:fill="FDEADA" w:themeFill="accent6" w:themeFillTint="32"/>
          </w:tcPr>
          <w:p>
            <w:pPr>
              <w:jc w:val="center"/>
              <w:rPr>
                <w:rFonts w:ascii="Tahoma" w:hAnsi="Tahoma" w:eastAsia="Times New Roman" w:cs="Tahoma"/>
                <w:b/>
                <w:color w:val="000000" w:themeColor="text1"/>
                <w:sz w:val="20"/>
                <w:szCs w:val="20"/>
                <w14:textFill>
                  <w14:solidFill>
                    <w14:schemeClr w14:val="tx1"/>
                  </w14:solidFill>
                </w14:textFill>
              </w:rPr>
            </w:pP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w:t>
            </w:r>
          </w:p>
        </w:tc>
        <w:tc>
          <w:tcPr>
            <w:tcW w:w="2303" w:type="dxa"/>
            <w:tcBorders>
              <w:top w:val="nil"/>
              <w:left w:val="nil"/>
              <w:bottom w:val="single" w:color="auto" w:sz="8" w:space="0"/>
              <w:right w:val="single" w:color="auto" w:sz="8" w:space="0"/>
            </w:tcBorders>
            <w:shd w:val="clear" w:color="auto" w:fill="FFFFFF" w:themeFill="background1"/>
          </w:tcPr>
          <w:p>
            <w:pPr>
              <w:jc w:val="both"/>
              <w:rPr>
                <w:rFonts w:ascii="Tahoma" w:hAnsi="Tahoma" w:eastAsia="Times New Roman" w:cs="Tahoma"/>
                <w:color w:val="auto"/>
                <w:sz w:val="20"/>
                <w:szCs w:val="20"/>
              </w:rPr>
            </w:pPr>
            <w:r>
              <w:rPr>
                <w:rFonts w:ascii="Tahoma" w:hAnsi="Tahoma" w:eastAsia="Times New Roman" w:cs="Tahoma"/>
                <w:color w:val="auto"/>
                <w:sz w:val="20"/>
                <w:szCs w:val="20"/>
              </w:rPr>
              <w:t>Pembinaan dan Evaluasi Penyelenggaraan Badan Layanan Umum Daerah (BLUD)</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Tidak terlaksana karena termasuk kegiatan yang terdampak rasionalisasi penanganan Covid-19</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w:t>
            </w:r>
          </w:p>
        </w:tc>
        <w:tc>
          <w:tcPr>
            <w:tcW w:w="1579" w:type="dxa"/>
            <w:tcBorders>
              <w:top w:val="nil"/>
              <w:left w:val="nil"/>
              <w:bottom w:val="single" w:color="auto" w:sz="8" w:space="0"/>
              <w:right w:val="single" w:color="auto" w:sz="8" w:space="0"/>
            </w:tcBorders>
            <w:shd w:val="clear" w:color="auto" w:fill="FFFFFF" w:themeFill="background1"/>
          </w:tcPr>
          <w:p>
            <w:pPr>
              <w:tabs>
                <w:tab w:val="center" w:pos="459"/>
                <w:tab w:val="left" w:pos="883"/>
              </w:tabs>
              <w:rPr>
                <w:rFonts w:ascii="Tahoma" w:hAnsi="Tahoma" w:eastAsia="Times New Roman" w:cs="Tahoma"/>
                <w:color w:val="auto"/>
                <w:sz w:val="20"/>
                <w:szCs w:val="20"/>
              </w:rPr>
            </w:pPr>
            <w:r>
              <w:rPr>
                <w:rFonts w:ascii="Tahoma" w:hAnsi="Tahoma" w:eastAsia="Times New Roman" w:cs="Tahoma"/>
                <w:color w:val="auto"/>
                <w:sz w:val="20"/>
                <w:szCs w:val="20"/>
              </w:rPr>
              <w:t>-</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2</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Penyusunan Peraturan Gubernur tentang Penjabaran APBD</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Terlaksananya penyusunan Peraturan Gubernur tentang Penjabaran APBD  Tahun Anggaran 2021</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dokumen</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w:t>
            </w: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3</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Pelaksanaan Penyelesaian Kerugian Daerah/Negara</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Tidak terlaksana karena termasuk kegiatan yang terdampak rasionalisasi penanganan Covid-19</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w:t>
            </w:r>
          </w:p>
        </w:tc>
        <w:tc>
          <w:tcPr>
            <w:tcW w:w="1579" w:type="dxa"/>
            <w:tcBorders>
              <w:top w:val="nil"/>
              <w:left w:val="nil"/>
              <w:bottom w:val="single" w:color="auto" w:sz="8" w:space="0"/>
              <w:right w:val="single" w:color="auto" w:sz="8" w:space="0"/>
            </w:tcBorders>
            <w:shd w:val="clear" w:color="auto" w:fill="FFFFFF" w:themeFill="background1"/>
          </w:tcPr>
          <w:p>
            <w:pPr>
              <w:tabs>
                <w:tab w:val="center" w:pos="459"/>
                <w:tab w:val="left" w:pos="883"/>
              </w:tabs>
              <w:rPr>
                <w:rFonts w:ascii="Tahoma" w:hAnsi="Tahoma" w:eastAsia="Times New Roman" w:cs="Tahoma"/>
                <w:color w:val="auto"/>
                <w:sz w:val="20"/>
                <w:szCs w:val="20"/>
              </w:rPr>
            </w:pPr>
            <w:r>
              <w:rPr>
                <w:rFonts w:ascii="Tahoma" w:hAnsi="Tahoma" w:eastAsia="Times New Roman" w:cs="Tahoma"/>
                <w:color w:val="auto"/>
                <w:sz w:val="20"/>
                <w:szCs w:val="20"/>
              </w:rPr>
              <w:t>-</w:t>
            </w:r>
          </w:p>
        </w:tc>
      </w:tr>
      <w:tr>
        <w:tblPrEx>
          <w:shd w:val="clear" w:color="auto" w:fill="FFFFFF" w:themeFill="background1"/>
          <w:tblCellMar>
            <w:top w:w="0" w:type="dxa"/>
            <w:left w:w="108" w:type="dxa"/>
            <w:bottom w:w="0" w:type="dxa"/>
            <w:right w:w="108" w:type="dxa"/>
          </w:tblCellMar>
        </w:tblPrEx>
        <w:trPr>
          <w:trHeight w:val="90"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4</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Bimbingan Teknis dan Pelatihan Peningkatan SDM Berbasis Teknologi Informasi</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Terlaksananya bimbingan teknis untuk tenaga teknis</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orang</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2</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5</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Penyusunan Peraturan Daerah tentang APBD</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Tersusunnya dokumen keuangan daerah seperti pengantar nota keuangan, nota keuangan, nota jawaban, Peraturan Daerah tentang APBD, dan Laporan Pelaksanaan Kegiatan</w:t>
            </w:r>
          </w:p>
        </w:tc>
        <w:tc>
          <w:tcPr>
            <w:tcW w:w="1179" w:type="dxa"/>
            <w:tcBorders>
              <w:top w:val="nil"/>
              <w:left w:val="nil"/>
              <w:bottom w:val="single" w:color="auto" w:sz="8" w:space="0"/>
              <w:right w:val="single" w:color="auto" w:sz="8" w:space="0"/>
            </w:tcBorders>
            <w:shd w:val="clear" w:color="auto" w:fill="FFFFFF" w:themeFill="background1"/>
          </w:tcPr>
          <w:p>
            <w:pPr>
              <w:spacing w:after="4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buku;</w:t>
            </w:r>
          </w:p>
          <w:p>
            <w:pPr>
              <w:spacing w:after="4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buku;</w:t>
            </w:r>
          </w:p>
          <w:p>
            <w:pPr>
              <w:spacing w:after="4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buku;</w:t>
            </w:r>
          </w:p>
          <w:p>
            <w:pPr>
              <w:spacing w:after="4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buku;</w:t>
            </w:r>
          </w:p>
          <w:p>
            <w:pPr>
              <w:spacing w:after="4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eksemplar</w:t>
            </w:r>
          </w:p>
        </w:tc>
        <w:tc>
          <w:tcPr>
            <w:tcW w:w="1579" w:type="dxa"/>
            <w:tcBorders>
              <w:top w:val="nil"/>
              <w:left w:val="nil"/>
              <w:bottom w:val="single" w:color="auto" w:sz="8" w:space="0"/>
              <w:right w:val="single" w:color="auto" w:sz="8" w:space="0"/>
            </w:tcBorders>
            <w:shd w:val="clear" w:color="auto" w:fill="FFFFFF" w:themeFill="background1"/>
          </w:tcPr>
          <w:p>
            <w:pPr>
              <w:spacing w:after="6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- 110 pengantar nota keuangan;</w:t>
            </w:r>
          </w:p>
          <w:p>
            <w:pPr>
              <w:spacing w:after="6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- 110 nota keuangan;</w:t>
            </w:r>
          </w:p>
          <w:p>
            <w:pPr>
              <w:spacing w:after="6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- 110 nota jawaban ;</w:t>
            </w:r>
          </w:p>
          <w:p>
            <w:pPr>
              <w:spacing w:after="6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- 150 Perda ttg APBD;</w:t>
            </w:r>
          </w:p>
          <w:p>
            <w:pPr>
              <w:spacing w:after="6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xml:space="preserve">- 5 laporan </w:t>
            </w:r>
          </w:p>
          <w:p>
            <w:pPr>
              <w:spacing w:after="60" w:line="240" w:lineRule="auto"/>
              <w:rPr>
                <w:rFonts w:ascii="Tahoma" w:hAnsi="Tahoma" w:eastAsia="Times New Roman" w:cs="Tahoma"/>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6</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Penyusunan Peraturan Daerah tentang Perubahan APBD</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Tersusunnya pengantar nota keuangan, nota jawaban, Perda tentang perubahan APBD tahun 2019</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buku</w:t>
            </w:r>
          </w:p>
        </w:tc>
        <w:tc>
          <w:tcPr>
            <w:tcW w:w="1579" w:type="dxa"/>
            <w:tcBorders>
              <w:top w:val="nil"/>
              <w:left w:val="nil"/>
              <w:bottom w:val="single" w:color="auto" w:sz="8" w:space="0"/>
              <w:right w:val="single" w:color="auto" w:sz="8" w:space="0"/>
            </w:tcBorders>
            <w:shd w:val="clear" w:color="auto" w:fill="FFFFFF" w:themeFill="background1"/>
          </w:tcPr>
          <w:p>
            <w:pPr>
              <w:spacing w:after="6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- 110 pengantar nota keuangan;</w:t>
            </w:r>
          </w:p>
          <w:p>
            <w:pPr>
              <w:spacing w:after="6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- 110 nota keuangan;</w:t>
            </w:r>
          </w:p>
          <w:p>
            <w:pPr>
              <w:spacing w:after="6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- 110 nota jawaban ;</w:t>
            </w:r>
          </w:p>
          <w:p>
            <w:pPr>
              <w:spacing w:after="6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- 150 Perda ttg Perubahan APBD;</w:t>
            </w:r>
          </w:p>
          <w:p>
            <w:pPr>
              <w:spacing w:after="60" w:line="240" w:lineRule="auto"/>
              <w:rPr>
                <w:rFonts w:ascii="Tahoma" w:hAnsi="Tahoma" w:eastAsia="Times New Roman" w:cs="Tahoma"/>
                <w:color w:val="000000" w:themeColor="text1"/>
                <w:sz w:val="20"/>
                <w:szCs w:val="20"/>
                <w14:textFill>
                  <w14:solidFill>
                    <w14:schemeClr w14:val="tx1"/>
                  </w14:solidFill>
                </w14:textFill>
              </w:rPr>
            </w:pP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7</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Penyusunan Peraturan Gubernur tentang Penjabaran Perubahan APBD</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Terlaksananya  Peraturan Gubernur tentang Penjabaran Perubahan APBD Tahun Anggaran 2019</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buku</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245</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8</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Verifikasi DPA-OPD, DPA-OPD Pergeseran dan DPA-OPD Perubahan</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Terlaksananya verifikasi DPA-OPD, DPA-OPD Pergeseran dan DPA-OPD Perubahan</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SKPD;Biro;PPKD</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42;9;1</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9</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Pembinaan Teknis Penyusunan Perencanaan  Penganggaran OPD di Lingkungan Provinsi</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Terlaksananya pembinaan dan asistensi terhadap penyusunan perencanaan dan penganggaran berbasis kinerja bagi OPD dilingkup Provinsi serta terlaksananya pembinaan dan asistensi terhadap penyusunan perencanaan dan penganggaran bantuan keuangan bersifat khusus kepada Kabupaten/Kota</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laporan</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2</w:t>
            </w: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10</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Penyusunan Laporan Pertanggungjawaban Pelaksanaan APBD</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Tersusunnya Perda Pertanggungjawaban APBD, Pergub Penjabaran Pertanggungjawaban, dan lain-lain</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dokumen</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w:t>
            </w: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11</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Pengembangan Sistem Informasi Pengelolaan Keuangan Daerah SIPKD</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Terlaksananya pengembangan aplikasi SIPKD sesuai kebutuhan operasional di lapangan</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fitur</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w:t>
            </w: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12</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Penetapan Pengelolaan Keuangan, Penerima Hibah, Bantuan Keuangan dan Bantuan Operasional Sekolah</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Tersedianya dokumen data pengelola keuangan dan penyaluran hibah, bantuan keuangan dan bantuan operasional sekolah dengan dokumen surat keputusan gubernur</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dokumen; SK</w:t>
            </w:r>
          </w:p>
        </w:tc>
        <w:tc>
          <w:tcPr>
            <w:tcW w:w="1579" w:type="dxa"/>
            <w:tcBorders>
              <w:top w:val="nil"/>
              <w:left w:val="nil"/>
              <w:bottom w:val="single" w:color="auto" w:sz="8" w:space="0"/>
              <w:right w:val="single" w:color="auto" w:sz="8" w:space="0"/>
            </w:tcBorders>
            <w:shd w:val="clear" w:color="auto" w:fill="FFFFFF" w:themeFill="background1"/>
          </w:tcPr>
          <w:p>
            <w:pPr>
              <w:spacing w:after="6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- 8 dokumen;</w:t>
            </w:r>
          </w:p>
          <w:p>
            <w:pPr>
              <w:spacing w:after="6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- 8 SK</w:t>
            </w:r>
          </w:p>
        </w:tc>
      </w:tr>
      <w:tr>
        <w:tblPrEx>
          <w:shd w:val="clear" w:color="auto" w:fill="FFFFFF" w:themeFill="background1"/>
          <w:tblCellMar>
            <w:top w:w="0" w:type="dxa"/>
            <w:left w:w="108" w:type="dxa"/>
            <w:bottom w:w="0" w:type="dxa"/>
            <w:right w:w="108" w:type="dxa"/>
          </w:tblCellMar>
        </w:tblPrEx>
        <w:trPr>
          <w:trHeight w:val="33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13</w:t>
            </w:r>
          </w:p>
        </w:tc>
        <w:tc>
          <w:tcPr>
            <w:tcW w:w="2303" w:type="dxa"/>
            <w:tcBorders>
              <w:top w:val="nil"/>
              <w:left w:val="nil"/>
              <w:bottom w:val="single" w:color="auto" w:sz="8" w:space="0"/>
              <w:right w:val="single" w:color="auto" w:sz="8" w:space="0"/>
            </w:tcBorders>
            <w:shd w:val="clear" w:color="auto" w:fill="FFFFFF" w:themeFill="background1"/>
          </w:tcPr>
          <w:p>
            <w:pPr>
              <w:jc w:val="both"/>
              <w:rPr>
                <w:rFonts w:ascii="Tahoma" w:hAnsi="Tahoma" w:eastAsia="Times New Roman" w:cs="Tahoma"/>
                <w:color w:val="auto"/>
                <w:sz w:val="20"/>
                <w:szCs w:val="20"/>
              </w:rPr>
            </w:pPr>
            <w:r>
              <w:rPr>
                <w:rFonts w:ascii="Tahoma" w:hAnsi="Tahoma" w:eastAsia="Times New Roman" w:cs="Tahoma"/>
                <w:color w:val="auto"/>
                <w:sz w:val="20"/>
                <w:szCs w:val="20"/>
              </w:rPr>
              <w:t>Sosialisasi Peraturan Perundang-undangan tentang Penatausahaan Keuangan Kepada OPD  Lingkup Provinsi Sumbar</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Terlaksananya Sosialisasi Peraturan Perundang-undangan tentang Penatausahaan Keuangan terhadap Pejabat Pengelola Keuangan dan Bendahara</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org</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auto"/>
                <w:sz w:val="20"/>
                <w:szCs w:val="20"/>
              </w:rPr>
            </w:pPr>
            <w:r>
              <w:rPr>
                <w:rFonts w:ascii="Tahoma" w:hAnsi="Tahoma" w:eastAsia="Times New Roman" w:cs="Tahoma"/>
                <w:color w:val="auto"/>
                <w:sz w:val="20"/>
                <w:szCs w:val="20"/>
              </w:rPr>
              <w:t>150</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14</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Rekonsiliasi Dana Transfer, Belanja Pegawai dan Daftar Transaksi Harian dan Rekapitulasi Harian</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Terlaksananya rekonsiliasi dana transfer dan IPDMP, Belanja Pegawai, Daftar Transaksi Hariana, dan Rekapitulasi Transaksi Harian</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dokumen</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4</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15</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Penyusunan Peraturan Terkait Perencanaan dan Penganggaran</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Terlaksananya penyusunan dokumen deregulasi  terkait dengan perencanaan dan penganggaran</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dokumen</w:t>
            </w:r>
          </w:p>
        </w:tc>
        <w:tc>
          <w:tcPr>
            <w:tcW w:w="1579" w:type="dxa"/>
            <w:tcBorders>
              <w:top w:val="nil"/>
              <w:left w:val="nil"/>
              <w:bottom w:val="single" w:color="auto" w:sz="8" w:space="0"/>
              <w:right w:val="single" w:color="auto" w:sz="8" w:space="0"/>
            </w:tcBorders>
            <w:shd w:val="clear" w:color="auto" w:fill="FFFFFF" w:themeFill="background1"/>
          </w:tcPr>
          <w:p>
            <w:pPr>
              <w:tabs>
                <w:tab w:val="center" w:pos="459"/>
                <w:tab w:val="left" w:pos="883"/>
              </w:tabs>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ab/>
            </w:r>
            <w:r>
              <w:rPr>
                <w:rFonts w:ascii="Tahoma" w:hAnsi="Tahoma" w:eastAsia="Times New Roman" w:cs="Tahoma"/>
                <w:color w:val="000000" w:themeColor="text1"/>
                <w:sz w:val="20"/>
                <w:szCs w:val="20"/>
                <w14:textFill>
                  <w14:solidFill>
                    <w14:schemeClr w14:val="tx1"/>
                  </w14:solidFill>
                </w14:textFill>
              </w:rPr>
              <w:t> 6</w:t>
            </w:r>
            <w:r>
              <w:rPr>
                <w:rFonts w:ascii="Tahoma" w:hAnsi="Tahoma" w:eastAsia="Times New Roman" w:cs="Tahoma"/>
                <w:color w:val="000000" w:themeColor="text1"/>
                <w:sz w:val="20"/>
                <w:szCs w:val="20"/>
                <w14:textFill>
                  <w14:solidFill>
                    <w14:schemeClr w14:val="tx1"/>
                  </w14:solidFill>
                </w14:textFill>
              </w:rPr>
              <w:tab/>
            </w: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bottom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16</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Sosialisasi Peraturan terkait Perencanaan dan Penganggaran Keuangan Daerah Kepada OPD di Lingkup Provinsi Sumatera Barat</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Tidak terlaksana karena termasuk kegiatan yang terdampak rasionalisasi penanganan Covid-19</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w:t>
            </w:r>
          </w:p>
        </w:tc>
        <w:tc>
          <w:tcPr>
            <w:tcW w:w="1579" w:type="dxa"/>
            <w:tcBorders>
              <w:top w:val="nil"/>
              <w:left w:val="nil"/>
              <w:bottom w:val="single" w:color="auto" w:sz="8" w:space="0"/>
              <w:right w:val="single" w:color="auto" w:sz="8" w:space="0"/>
            </w:tcBorders>
            <w:shd w:val="clear" w:color="auto" w:fill="FFFFFF" w:themeFill="background1"/>
          </w:tcPr>
          <w:p>
            <w:pPr>
              <w:tabs>
                <w:tab w:val="center" w:pos="459"/>
                <w:tab w:val="left" w:pos="883"/>
              </w:tabs>
              <w:rPr>
                <w:rFonts w:ascii="Tahoma" w:hAnsi="Tahoma" w:eastAsia="Times New Roman" w:cs="Tahoma"/>
                <w:color w:val="auto"/>
                <w:sz w:val="20"/>
                <w:szCs w:val="20"/>
              </w:rPr>
            </w:pPr>
            <w:r>
              <w:rPr>
                <w:rFonts w:ascii="Tahoma" w:hAnsi="Tahoma" w:eastAsia="Times New Roman" w:cs="Tahoma"/>
                <w:color w:val="auto"/>
                <w:sz w:val="20"/>
                <w:szCs w:val="20"/>
              </w:rPr>
              <w:t>-</w:t>
            </w: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bottom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17</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Pembahasan RKP-OPD dan DPPA-OPD/RKA-OPD Kegiatan Tahun 2019</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Terlaksananya pembahasan RKA OPD dan DPA opd Tahun 2021 sesuai dengan perundang-undangan</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SKPD;Biro;PPKD</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42;9;1</w:t>
            </w:r>
          </w:p>
        </w:tc>
      </w:tr>
      <w:tr>
        <w:tblPrEx>
          <w:shd w:val="clear" w:color="auto" w:fill="FFFFFF" w:themeFill="background1"/>
          <w:tblCellMar>
            <w:top w:w="0" w:type="dxa"/>
            <w:left w:w="108" w:type="dxa"/>
            <w:bottom w:w="0" w:type="dxa"/>
            <w:right w:w="108" w:type="dxa"/>
          </w:tblCellMar>
        </w:tblPrEx>
        <w:trPr>
          <w:trHeight w:val="516" w:hRule="atLeast"/>
        </w:trPr>
        <w:tc>
          <w:tcPr>
            <w:tcW w:w="726" w:type="dxa"/>
            <w:tcBorders>
              <w:left w:val="single" w:color="auto" w:sz="8" w:space="0"/>
              <w:bottom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18</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Tatakelola Program Hibah Jalan Daerah (PHJD)</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Terlaksananya tatakelola keuangan program hibah jalan daerah dan tersedianya laporan</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dokumen</w:t>
            </w:r>
          </w:p>
        </w:tc>
        <w:tc>
          <w:tcPr>
            <w:tcW w:w="1579" w:type="dxa"/>
            <w:tcBorders>
              <w:top w:val="nil"/>
              <w:left w:val="nil"/>
              <w:bottom w:val="single" w:color="auto" w:sz="8" w:space="0"/>
              <w:right w:val="single" w:color="auto" w:sz="8" w:space="0"/>
            </w:tcBorders>
            <w:shd w:val="clear" w:color="auto" w:fill="FFFFFF" w:themeFill="background1"/>
          </w:tcPr>
          <w:p>
            <w:pPr>
              <w:jc w:val="cente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2</w:t>
            </w:r>
          </w:p>
        </w:tc>
      </w:tr>
      <w:tr>
        <w:tblPrEx>
          <w:tblCellMar>
            <w:top w:w="0" w:type="dxa"/>
            <w:left w:w="108" w:type="dxa"/>
            <w:bottom w:w="0" w:type="dxa"/>
            <w:right w:w="108" w:type="dxa"/>
          </w:tblCellMar>
        </w:tblPrEx>
        <w:trPr>
          <w:trHeight w:val="516" w:hRule="atLeast"/>
        </w:trPr>
        <w:tc>
          <w:tcPr>
            <w:tcW w:w="726" w:type="dxa"/>
            <w:vMerge w:val="restart"/>
            <w:tcBorders>
              <w:top w:val="nil"/>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lang w:val="id-ID"/>
                <w14:textFill>
                  <w14:solidFill>
                    <w14:schemeClr w14:val="tx1"/>
                  </w14:solidFill>
                </w14:textFill>
              </w:rPr>
              <w:t>V</w:t>
            </w:r>
            <w:r>
              <w:rPr>
                <w:rFonts w:ascii="Tahoma" w:hAnsi="Tahoma" w:eastAsia="Times New Roman" w:cs="Tahoma"/>
                <w:b/>
                <w:bCs/>
                <w:color w:val="000000" w:themeColor="text1"/>
                <w:sz w:val="20"/>
                <w:szCs w:val="20"/>
                <w14:textFill>
                  <w14:solidFill>
                    <w14:schemeClr w14:val="tx1"/>
                  </w14:solidFill>
                </w14:textFill>
              </w:rPr>
              <w:t>II</w:t>
            </w:r>
          </w:p>
        </w:tc>
        <w:tc>
          <w:tcPr>
            <w:tcW w:w="554" w:type="dxa"/>
            <w:tcBorders>
              <w:top w:val="nil"/>
              <w:left w:val="nil"/>
              <w:bottom w:val="single" w:color="auto" w:sz="8" w:space="0"/>
              <w:right w:val="nil"/>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p>
        </w:tc>
        <w:tc>
          <w:tcPr>
            <w:tcW w:w="2303"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PROGRAM PEMBINAAN DAN FASILITASI PENGELOLAAN KEUANGAN  KAB/KOTA</w:t>
            </w:r>
          </w:p>
        </w:tc>
        <w:tc>
          <w:tcPr>
            <w:tcW w:w="3286"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Meningkatnya Kualitas Pengelolaan APBD Kab/Kota sesuai dengan ketentuan</w:t>
            </w:r>
          </w:p>
        </w:tc>
        <w:tc>
          <w:tcPr>
            <w:tcW w:w="1179"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p>
        </w:tc>
        <w:tc>
          <w:tcPr>
            <w:tcW w:w="1579" w:type="dxa"/>
            <w:tcBorders>
              <w:top w:val="nil"/>
              <w:left w:val="nil"/>
              <w:bottom w:val="single" w:color="auto" w:sz="8" w:space="0"/>
              <w:right w:val="single" w:color="auto" w:sz="8" w:space="0"/>
            </w:tcBorders>
            <w:shd w:val="clear" w:color="auto" w:fill="FDEADA" w:themeFill="accent6" w:themeFillTint="32"/>
          </w:tcPr>
          <w:p>
            <w:pPr>
              <w:tabs>
                <w:tab w:val="center" w:pos="459"/>
                <w:tab w:val="left" w:pos="883"/>
              </w:tabs>
              <w:rPr>
                <w:rFonts w:ascii="Tahoma" w:hAnsi="Tahoma" w:eastAsia="Times New Roman" w:cs="Tahoma"/>
                <w:b/>
                <w:color w:val="000000" w:themeColor="text1"/>
                <w:sz w:val="20"/>
                <w:szCs w:val="20"/>
                <w14:textFill>
                  <w14:solidFill>
                    <w14:schemeClr w14:val="tx1"/>
                  </w14:solidFill>
                </w14:textFill>
              </w:rPr>
            </w:pP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bCs/>
                <w:color w:val="000000" w:themeColor="text1"/>
                <w:sz w:val="20"/>
                <w:szCs w:val="20"/>
                <w14:textFill>
                  <w14:solidFill>
                    <w14:schemeClr w14:val="tx1"/>
                  </w14:solidFill>
                </w14:textFill>
              </w:rPr>
            </w:pPr>
            <w:r>
              <w:rPr>
                <w:rFonts w:ascii="Tahoma" w:hAnsi="Tahoma" w:cs="Tahoma"/>
                <w:bCs/>
                <w:sz w:val="20"/>
                <w:szCs w:val="20"/>
                <w:lang w:val="id-ID"/>
              </w:rPr>
              <w:t xml:space="preserve">Evaluasi </w:t>
            </w:r>
            <w:r>
              <w:rPr>
                <w:rFonts w:ascii="Tahoma" w:hAnsi="Tahoma" w:cs="Tahoma"/>
                <w:bCs/>
                <w:sz w:val="20"/>
                <w:szCs w:val="20"/>
              </w:rPr>
              <w:t xml:space="preserve">Rancangan Perda tentang </w:t>
            </w:r>
            <w:r>
              <w:rPr>
                <w:rFonts w:ascii="Tahoma" w:hAnsi="Tahoma" w:cs="Tahoma"/>
                <w:bCs/>
                <w:sz w:val="20"/>
                <w:szCs w:val="20"/>
                <w:lang w:val="id-ID"/>
              </w:rPr>
              <w:t xml:space="preserve">APBD, Perubahan APBD dan Pertanggungjawaban </w:t>
            </w:r>
            <w:r>
              <w:rPr>
                <w:rFonts w:ascii="Tahoma" w:hAnsi="Tahoma" w:cs="Tahoma"/>
                <w:bCs/>
                <w:sz w:val="20"/>
                <w:szCs w:val="20"/>
              </w:rPr>
              <w:t xml:space="preserve">Pelaksanaan </w:t>
            </w:r>
            <w:r>
              <w:rPr>
                <w:rFonts w:ascii="Tahoma" w:hAnsi="Tahoma" w:cs="Tahoma"/>
                <w:bCs/>
                <w:sz w:val="20"/>
                <w:szCs w:val="20"/>
                <w:lang w:val="id-ID"/>
              </w:rPr>
              <w:t xml:space="preserve">APBD </w:t>
            </w:r>
            <w:r>
              <w:rPr>
                <w:rFonts w:ascii="Tahoma" w:hAnsi="Tahoma" w:cs="Tahoma"/>
                <w:bCs/>
                <w:sz w:val="20"/>
                <w:szCs w:val="20"/>
              </w:rPr>
              <w:t>serta Rancangan Perbup/Perwako tentang Penjabaran APBD, Perubahan APBD dan Pertanggungjawaban Pelaksanaan APBD</w:t>
            </w:r>
            <w:r>
              <w:rPr>
                <w:rFonts w:ascii="Tahoma" w:hAnsi="Tahoma" w:cs="Tahoma"/>
                <w:bCs/>
                <w:sz w:val="20"/>
                <w:szCs w:val="20"/>
                <w:lang w:val="id-ID"/>
              </w:rPr>
              <w:t>Kab</w:t>
            </w:r>
            <w:r>
              <w:rPr>
                <w:rFonts w:ascii="Tahoma" w:hAnsi="Tahoma" w:cs="Tahoma"/>
                <w:bCs/>
                <w:sz w:val="20"/>
                <w:szCs w:val="20"/>
              </w:rPr>
              <w:t>upaten</w:t>
            </w:r>
            <w:r>
              <w:rPr>
                <w:rFonts w:ascii="Tahoma" w:hAnsi="Tahoma" w:cs="Tahoma"/>
                <w:bCs/>
                <w:sz w:val="20"/>
                <w:szCs w:val="20"/>
                <w:lang w:val="id-ID"/>
              </w:rPr>
              <w:t>/Kota</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Diterbitkannya SK Gubernur tentang Hasil Evaluasi Rancangan Perda tentang APBD dan Rancangan Perbup/Wako tentang Penjabaran APBD Kabupaten/Kota tahun 2021</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dokumen</w:t>
            </w:r>
          </w:p>
        </w:tc>
        <w:tc>
          <w:tcPr>
            <w:tcW w:w="1579" w:type="dxa"/>
            <w:tcBorders>
              <w:top w:val="nil"/>
              <w:left w:val="nil"/>
              <w:bottom w:val="single" w:color="auto" w:sz="8" w:space="0"/>
              <w:right w:val="single" w:color="auto" w:sz="8" w:space="0"/>
            </w:tcBorders>
            <w:shd w:val="clear" w:color="auto" w:fill="FFFFFF" w:themeFill="background1"/>
          </w:tcPr>
          <w:p>
            <w:pPr>
              <w:tabs>
                <w:tab w:val="center" w:pos="459"/>
                <w:tab w:val="left" w:pos="883"/>
              </w:tabs>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3</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2</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Rapat Koordinasi Pengelola Keuangan Daerah Se-Sumatera Barat</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Terlaksananya Rapat Koordinasi pengelola keuangan daerah se Sumatera Barat</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kegiatan</w:t>
            </w:r>
          </w:p>
        </w:tc>
        <w:tc>
          <w:tcPr>
            <w:tcW w:w="1579" w:type="dxa"/>
            <w:tcBorders>
              <w:top w:val="nil"/>
              <w:left w:val="nil"/>
              <w:bottom w:val="single" w:color="auto" w:sz="8" w:space="0"/>
              <w:right w:val="single" w:color="auto" w:sz="8" w:space="0"/>
            </w:tcBorders>
            <w:shd w:val="clear" w:color="auto" w:fill="FFFFFF" w:themeFill="background1"/>
          </w:tcPr>
          <w:p>
            <w:pPr>
              <w:tabs>
                <w:tab w:val="center" w:pos="459"/>
                <w:tab w:val="left" w:pos="883"/>
              </w:tabs>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 FGD</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3</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Sosialisasi Peraturan Perundang-undangan tentang Pengelolaan Keuangan Daerah Kepada Kab/Kota</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Tidak terlaksana karena termasuk kegiatan yang terdampak rasionalisasi penanganan Covid-19</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w:t>
            </w:r>
          </w:p>
        </w:tc>
        <w:tc>
          <w:tcPr>
            <w:tcW w:w="1579" w:type="dxa"/>
            <w:tcBorders>
              <w:top w:val="nil"/>
              <w:left w:val="nil"/>
              <w:bottom w:val="single" w:color="auto" w:sz="8" w:space="0"/>
              <w:right w:val="single" w:color="auto" w:sz="8" w:space="0"/>
            </w:tcBorders>
            <w:shd w:val="clear" w:color="auto" w:fill="FFFFFF" w:themeFill="background1"/>
          </w:tcPr>
          <w:p>
            <w:pPr>
              <w:tabs>
                <w:tab w:val="center" w:pos="459"/>
                <w:tab w:val="left" w:pos="883"/>
              </w:tabs>
              <w:rPr>
                <w:rFonts w:ascii="Tahoma" w:hAnsi="Tahoma" w:eastAsia="Times New Roman" w:cs="Tahoma"/>
                <w:color w:val="auto"/>
                <w:sz w:val="20"/>
                <w:szCs w:val="20"/>
              </w:rPr>
            </w:pPr>
            <w:r>
              <w:rPr>
                <w:rFonts w:ascii="Tahoma" w:hAnsi="Tahoma" w:eastAsia="Times New Roman" w:cs="Tahoma"/>
                <w:color w:val="auto"/>
                <w:sz w:val="20"/>
                <w:szCs w:val="20"/>
              </w:rPr>
              <w:t>-</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bottom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4</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Rekapitulasi dan Rekonsiliasi Data APBD Kabupaten/Kota</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xml:space="preserve">Tersedianya dokumen APBD Kabupaten/Kota </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dokumen</w:t>
            </w:r>
          </w:p>
        </w:tc>
        <w:tc>
          <w:tcPr>
            <w:tcW w:w="1579" w:type="dxa"/>
            <w:tcBorders>
              <w:top w:val="nil"/>
              <w:left w:val="nil"/>
              <w:bottom w:val="single" w:color="auto" w:sz="8" w:space="0"/>
              <w:right w:val="single" w:color="auto" w:sz="8" w:space="0"/>
            </w:tcBorders>
            <w:shd w:val="clear" w:color="auto" w:fill="FFFFFF" w:themeFill="background1"/>
          </w:tcPr>
          <w:p>
            <w:pPr>
              <w:tabs>
                <w:tab w:val="center" w:pos="459"/>
                <w:tab w:val="left" w:pos="883"/>
              </w:tabs>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7</w:t>
            </w:r>
          </w:p>
        </w:tc>
      </w:tr>
      <w:tr>
        <w:tblPrEx>
          <w:tblCellMar>
            <w:top w:w="0" w:type="dxa"/>
            <w:left w:w="108" w:type="dxa"/>
            <w:bottom w:w="0" w:type="dxa"/>
            <w:right w:w="108" w:type="dxa"/>
          </w:tblCellMar>
        </w:tblPrEx>
        <w:trPr>
          <w:trHeight w:val="516" w:hRule="atLeast"/>
        </w:trPr>
        <w:tc>
          <w:tcPr>
            <w:tcW w:w="726" w:type="dxa"/>
            <w:vMerge w:val="restart"/>
            <w:tcBorders>
              <w:top w:val="nil"/>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lang w:val="id-ID"/>
                <w14:textFill>
                  <w14:solidFill>
                    <w14:schemeClr w14:val="tx1"/>
                  </w14:solidFill>
                </w14:textFill>
              </w:rPr>
              <w:t>VI</w:t>
            </w:r>
            <w:r>
              <w:rPr>
                <w:rFonts w:ascii="Tahoma" w:hAnsi="Tahoma" w:eastAsia="Times New Roman" w:cs="Tahoma"/>
                <w:b/>
                <w:bCs/>
                <w:color w:val="000000" w:themeColor="text1"/>
                <w:sz w:val="20"/>
                <w:szCs w:val="20"/>
                <w14:textFill>
                  <w14:solidFill>
                    <w14:schemeClr w14:val="tx1"/>
                  </w14:solidFill>
                </w14:textFill>
              </w:rPr>
              <w:t>II</w:t>
            </w:r>
          </w:p>
        </w:tc>
        <w:tc>
          <w:tcPr>
            <w:tcW w:w="554" w:type="dxa"/>
            <w:tcBorders>
              <w:top w:val="nil"/>
              <w:left w:val="nil"/>
              <w:bottom w:val="single" w:color="auto" w:sz="8" w:space="0"/>
              <w:right w:val="nil"/>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p>
        </w:tc>
        <w:tc>
          <w:tcPr>
            <w:tcW w:w="2303"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PROGRAM PENINGKATAN PENDAPATAN DAERAH</w:t>
            </w:r>
          </w:p>
        </w:tc>
        <w:tc>
          <w:tcPr>
            <w:tcW w:w="3286"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Meningkatnya Pendapatan Daerah</w:t>
            </w:r>
          </w:p>
        </w:tc>
        <w:tc>
          <w:tcPr>
            <w:tcW w:w="1179"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p>
        </w:tc>
        <w:tc>
          <w:tcPr>
            <w:tcW w:w="1579" w:type="dxa"/>
            <w:tcBorders>
              <w:top w:val="nil"/>
              <w:left w:val="nil"/>
              <w:bottom w:val="single" w:color="auto" w:sz="8" w:space="0"/>
              <w:right w:val="single" w:color="auto" w:sz="8" w:space="0"/>
            </w:tcBorders>
            <w:shd w:val="clear" w:color="auto" w:fill="FDEADA" w:themeFill="accent6" w:themeFillTint="32"/>
          </w:tcPr>
          <w:p>
            <w:pPr>
              <w:tabs>
                <w:tab w:val="center" w:pos="459"/>
                <w:tab w:val="left" w:pos="883"/>
              </w:tabs>
              <w:rPr>
                <w:rFonts w:ascii="Tahoma" w:hAnsi="Tahoma" w:eastAsia="Times New Roman" w:cs="Tahoma"/>
                <w:b/>
                <w:color w:val="000000" w:themeColor="text1"/>
                <w:sz w:val="20"/>
                <w:szCs w:val="20"/>
                <w14:textFill>
                  <w14:solidFill>
                    <w14:schemeClr w14:val="tx1"/>
                  </w14:solidFill>
                </w14:textFill>
              </w:rPr>
            </w:pP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Penyusunan Peraturan Gubernur tentang Penghitungan Dasar Pengenaan PKB dan BBNKB</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Tersedianya  satubuku Peraturan Gubernur tentang Nilai Jual Kendaraan Bermotor</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dokumen</w:t>
            </w:r>
          </w:p>
        </w:tc>
        <w:tc>
          <w:tcPr>
            <w:tcW w:w="1579" w:type="dxa"/>
            <w:tcBorders>
              <w:top w:val="nil"/>
              <w:left w:val="nil"/>
              <w:bottom w:val="single" w:color="auto" w:sz="8" w:space="0"/>
              <w:right w:val="single" w:color="auto" w:sz="8" w:space="0"/>
            </w:tcBorders>
            <w:shd w:val="clear" w:color="auto" w:fill="FFFFFF" w:themeFill="background1"/>
          </w:tcPr>
          <w:p>
            <w:pPr>
              <w:tabs>
                <w:tab w:val="center" w:pos="459"/>
                <w:tab w:val="left" w:pos="883"/>
              </w:tabs>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2</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Sosialisasi Peraturan Perundang-undangan di Bidang Cukai dan Retribusi dan Penerimaan Lain-Lain</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Terlaksananya Sosialisasi Peraturan Perundang-Undangan Bidang Cukai dan Retribusi dan Penerimaan Lain-Lain</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angkatan</w:t>
            </w:r>
          </w:p>
        </w:tc>
        <w:tc>
          <w:tcPr>
            <w:tcW w:w="1579" w:type="dxa"/>
            <w:tcBorders>
              <w:top w:val="nil"/>
              <w:left w:val="nil"/>
              <w:bottom w:val="single" w:color="auto" w:sz="8" w:space="0"/>
              <w:right w:val="single" w:color="auto" w:sz="8" w:space="0"/>
            </w:tcBorders>
            <w:shd w:val="clear" w:color="auto" w:fill="FFFFFF" w:themeFill="background1"/>
          </w:tcPr>
          <w:p>
            <w:pPr>
              <w:tabs>
                <w:tab w:val="center" w:pos="459"/>
                <w:tab w:val="left" w:pos="883"/>
              </w:tabs>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1</w:t>
            </w: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3</w:t>
            </w:r>
          </w:p>
        </w:tc>
        <w:tc>
          <w:tcPr>
            <w:tcW w:w="2303" w:type="dxa"/>
            <w:tcBorders>
              <w:top w:val="nil"/>
              <w:left w:val="nil"/>
              <w:bottom w:val="single" w:color="auto" w:sz="8" w:space="0"/>
              <w:right w:val="single" w:color="auto" w:sz="8" w:space="0"/>
            </w:tcBorders>
            <w:shd w:val="clear" w:color="auto" w:fill="FFFFFF" w:themeFill="background1"/>
          </w:tcPr>
          <w:p>
            <w:pPr>
              <w:jc w:val="both"/>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Peningkatan Pendapatan Dana Perimbangan</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Tersedianya laporan realisasi penerimaan dana perimbangan, laporan rekonsiliasi data DBH</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dokumen;Berita Acara</w:t>
            </w:r>
          </w:p>
        </w:tc>
        <w:tc>
          <w:tcPr>
            <w:tcW w:w="1579" w:type="dxa"/>
            <w:tcBorders>
              <w:top w:val="nil"/>
              <w:left w:val="nil"/>
              <w:bottom w:val="single" w:color="auto" w:sz="8" w:space="0"/>
              <w:right w:val="single" w:color="auto" w:sz="8" w:space="0"/>
            </w:tcBorders>
            <w:shd w:val="clear" w:color="auto" w:fill="FFFFFF" w:themeFill="background1"/>
          </w:tcPr>
          <w:p>
            <w:pPr>
              <w:tabs>
                <w:tab w:val="center" w:pos="459"/>
                <w:tab w:val="left" w:pos="883"/>
              </w:tabs>
              <w:spacing w:after="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- 2 dokumen;</w:t>
            </w:r>
          </w:p>
          <w:p>
            <w:pPr>
              <w:tabs>
                <w:tab w:val="center" w:pos="459"/>
                <w:tab w:val="left" w:pos="883"/>
              </w:tabs>
              <w:spacing w:after="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- 5 Berita Acara</w:t>
            </w: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4</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Penyusunan Ranperda Retribusi Daerah</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Terlaksananya penyusunan Ranperda Retribusi dan PLL,Naskah Akademism dan Peraturan Gubernur</w:t>
            </w:r>
          </w:p>
        </w:tc>
        <w:tc>
          <w:tcPr>
            <w:tcW w:w="1179" w:type="dxa"/>
            <w:tcBorders>
              <w:top w:val="nil"/>
              <w:left w:val="nil"/>
              <w:bottom w:val="single" w:color="auto" w:sz="8" w:space="0"/>
              <w:right w:val="single" w:color="auto" w:sz="8" w:space="0"/>
            </w:tcBorders>
            <w:shd w:val="clear" w:color="auto" w:fill="FFFFFF" w:themeFill="background1"/>
          </w:tcPr>
          <w:p>
            <w:pPr>
              <w:spacing w:after="6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Perda;</w:t>
            </w:r>
          </w:p>
          <w:p>
            <w:pPr>
              <w:spacing w:after="6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Naskah Akademis;</w:t>
            </w:r>
          </w:p>
          <w:p>
            <w:pPr>
              <w:spacing w:after="6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Pergub</w:t>
            </w:r>
          </w:p>
        </w:tc>
        <w:tc>
          <w:tcPr>
            <w:tcW w:w="1579" w:type="dxa"/>
            <w:tcBorders>
              <w:top w:val="nil"/>
              <w:left w:val="nil"/>
              <w:bottom w:val="single" w:color="auto" w:sz="8" w:space="0"/>
              <w:right w:val="single" w:color="auto" w:sz="8" w:space="0"/>
            </w:tcBorders>
            <w:shd w:val="clear" w:color="auto" w:fill="FFFFFF" w:themeFill="background1"/>
          </w:tcPr>
          <w:p>
            <w:pPr>
              <w:tabs>
                <w:tab w:val="center" w:pos="459"/>
                <w:tab w:val="left" w:pos="883"/>
              </w:tabs>
              <w:spacing w:after="6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- 2 Perda;</w:t>
            </w:r>
          </w:p>
          <w:p>
            <w:pPr>
              <w:tabs>
                <w:tab w:val="center" w:pos="459"/>
                <w:tab w:val="left" w:pos="883"/>
              </w:tabs>
              <w:spacing w:after="6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- 1 Naskah Akademis;</w:t>
            </w:r>
          </w:p>
          <w:p>
            <w:pPr>
              <w:tabs>
                <w:tab w:val="center" w:pos="459"/>
                <w:tab w:val="left" w:pos="883"/>
              </w:tabs>
              <w:spacing w:after="60" w:line="240" w:lineRule="auto"/>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- 2 Pergub</w:t>
            </w:r>
          </w:p>
        </w:tc>
      </w:tr>
      <w:tr>
        <w:tblPrEx>
          <w:tblCellMar>
            <w:top w:w="0" w:type="dxa"/>
            <w:left w:w="108" w:type="dxa"/>
            <w:bottom w:w="0" w:type="dxa"/>
            <w:right w:w="108" w:type="dxa"/>
          </w:tblCellMar>
        </w:tblPrEx>
        <w:trPr>
          <w:trHeight w:val="516" w:hRule="atLeast"/>
        </w:trPr>
        <w:tc>
          <w:tcPr>
            <w:tcW w:w="726" w:type="dxa"/>
            <w:vMerge w:val="continue"/>
            <w:tcBorders>
              <w:left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5</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Peningkatan dan Penyusunan Rencana Penerimaan Retribusi Daerah dan Penerimaan Lain-Lain</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xml:space="preserve">Tersedianyan laporan koordinasi, evaluasi rencana penerimaan retribusi tahun 2020 </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dokumen</w:t>
            </w:r>
          </w:p>
        </w:tc>
        <w:tc>
          <w:tcPr>
            <w:tcW w:w="1579" w:type="dxa"/>
            <w:tcBorders>
              <w:top w:val="nil"/>
              <w:left w:val="nil"/>
              <w:bottom w:val="single" w:color="auto" w:sz="8" w:space="0"/>
              <w:right w:val="single" w:color="auto" w:sz="8" w:space="0"/>
            </w:tcBorders>
            <w:shd w:val="clear" w:color="auto" w:fill="FFFFFF" w:themeFill="background1"/>
          </w:tcPr>
          <w:p>
            <w:pPr>
              <w:tabs>
                <w:tab w:val="center" w:pos="459"/>
                <w:tab w:val="left" w:pos="883"/>
              </w:tabs>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4</w:t>
            </w: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left w:val="single" w:color="auto" w:sz="8" w:space="0"/>
              <w:bottom w:val="single" w:color="auto" w:sz="8"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6</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Intensifikasi Peningkatan Pajak Daerah</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 xml:space="preserve">Terlaksananya intensifikasi peningkatan pajak daerah, berupa (PKB, BBNKB, PBBKB, Pajak Air Permukaan, dan Pajak Rokok) </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p>
        </w:tc>
        <w:tc>
          <w:tcPr>
            <w:tcW w:w="1579" w:type="dxa"/>
            <w:tcBorders>
              <w:top w:val="nil"/>
              <w:left w:val="nil"/>
              <w:bottom w:val="single" w:color="auto" w:sz="8" w:space="0"/>
              <w:right w:val="single" w:color="auto" w:sz="8" w:space="0"/>
            </w:tcBorders>
            <w:shd w:val="clear" w:color="auto" w:fill="FFFFFF" w:themeFill="background1"/>
          </w:tcPr>
          <w:p>
            <w:pPr>
              <w:tabs>
                <w:tab w:val="center" w:pos="459"/>
                <w:tab w:val="left" w:pos="883"/>
              </w:tabs>
              <w:rPr>
                <w:rFonts w:ascii="Tahoma" w:hAnsi="Tahoma" w:eastAsia="Times New Roman" w:cs="Tahoma"/>
                <w:color w:val="000000" w:themeColor="text1"/>
                <w:sz w:val="20"/>
                <w:szCs w:val="20"/>
                <w14:textFill>
                  <w14:solidFill>
                    <w14:schemeClr w14:val="tx1"/>
                  </w14:solidFill>
                </w14:textFill>
              </w:rPr>
            </w:pP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restart"/>
            <w:tcBorders>
              <w:top w:val="nil"/>
              <w:left w:val="single" w:color="auto" w:sz="8" w:space="0"/>
              <w:bottom w:val="single" w:color="auto" w:sz="4"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IX</w:t>
            </w:r>
          </w:p>
          <w:p>
            <w:pPr>
              <w:jc w:val="center"/>
              <w:rPr>
                <w:rFonts w:ascii="Tahoma" w:hAnsi="Tahoma" w:eastAsia="Times New Roman" w:cs="Tahoma"/>
                <w:b/>
                <w:bCs/>
                <w:color w:val="000000" w:themeColor="text1"/>
                <w:sz w:val="20"/>
                <w:szCs w:val="20"/>
                <w14:textFill>
                  <w14:solidFill>
                    <w14:schemeClr w14:val="tx1"/>
                  </w14:solidFill>
                </w14:textFill>
              </w:rPr>
            </w:pPr>
            <w:r>
              <w:rPr>
                <w:rFonts w:ascii="Tahoma" w:hAnsi="Tahoma" w:eastAsia="Times New Roman" w:cs="Tahoma"/>
                <w:b/>
                <w:bCs/>
                <w:color w:val="000000" w:themeColor="text1"/>
                <w:sz w:val="20"/>
                <w:szCs w:val="20"/>
                <w14:textFill>
                  <w14:solidFill>
                    <w14:schemeClr w14:val="tx1"/>
                  </w14:solidFill>
                </w14:textFill>
              </w:rPr>
              <w:t> </w:t>
            </w:r>
          </w:p>
        </w:tc>
        <w:tc>
          <w:tcPr>
            <w:tcW w:w="554" w:type="dxa"/>
            <w:tcBorders>
              <w:top w:val="nil"/>
              <w:left w:val="nil"/>
              <w:bottom w:val="single" w:color="auto" w:sz="8" w:space="0"/>
              <w:right w:val="nil"/>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p>
        </w:tc>
        <w:tc>
          <w:tcPr>
            <w:tcW w:w="2303"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PROGRAM PENINGKATAN PELAYANAN PUBLIK</w:t>
            </w:r>
          </w:p>
        </w:tc>
        <w:tc>
          <w:tcPr>
            <w:tcW w:w="3286"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r>
              <w:rPr>
                <w:rFonts w:ascii="Tahoma" w:hAnsi="Tahoma" w:eastAsia="Times New Roman" w:cs="Tahoma"/>
                <w:b/>
                <w:color w:val="000000" w:themeColor="text1"/>
                <w:sz w:val="20"/>
                <w:szCs w:val="20"/>
                <w14:textFill>
                  <w14:solidFill>
                    <w14:schemeClr w14:val="tx1"/>
                  </w14:solidFill>
                </w14:textFill>
              </w:rPr>
              <w:t>Persentase Kepatuhan Pelaksanaan  Undang-Undang Pelayanan Publik</w:t>
            </w:r>
          </w:p>
        </w:tc>
        <w:tc>
          <w:tcPr>
            <w:tcW w:w="1179" w:type="dxa"/>
            <w:tcBorders>
              <w:top w:val="nil"/>
              <w:left w:val="nil"/>
              <w:bottom w:val="single" w:color="auto" w:sz="8" w:space="0"/>
              <w:right w:val="single" w:color="auto" w:sz="8" w:space="0"/>
            </w:tcBorders>
            <w:shd w:val="clear" w:color="auto" w:fill="FDEADA" w:themeFill="accent6" w:themeFillTint="32"/>
          </w:tcPr>
          <w:p>
            <w:pPr>
              <w:rPr>
                <w:rFonts w:ascii="Tahoma" w:hAnsi="Tahoma" w:eastAsia="Times New Roman" w:cs="Tahoma"/>
                <w:b/>
                <w:color w:val="000000" w:themeColor="text1"/>
                <w:sz w:val="20"/>
                <w:szCs w:val="20"/>
                <w14:textFill>
                  <w14:solidFill>
                    <w14:schemeClr w14:val="tx1"/>
                  </w14:solidFill>
                </w14:textFill>
              </w:rPr>
            </w:pPr>
          </w:p>
        </w:tc>
        <w:tc>
          <w:tcPr>
            <w:tcW w:w="1579" w:type="dxa"/>
            <w:tcBorders>
              <w:top w:val="nil"/>
              <w:left w:val="nil"/>
              <w:bottom w:val="single" w:color="auto" w:sz="8" w:space="0"/>
              <w:right w:val="single" w:color="auto" w:sz="8" w:space="0"/>
            </w:tcBorders>
            <w:shd w:val="clear" w:color="auto" w:fill="FDEADA" w:themeFill="accent6" w:themeFillTint="32"/>
          </w:tcPr>
          <w:p>
            <w:pPr>
              <w:tabs>
                <w:tab w:val="center" w:pos="459"/>
                <w:tab w:val="left" w:pos="883"/>
              </w:tabs>
              <w:rPr>
                <w:rFonts w:ascii="Tahoma" w:hAnsi="Tahoma" w:eastAsia="Times New Roman" w:cs="Tahoma"/>
                <w:b/>
                <w:color w:val="000000" w:themeColor="text1"/>
                <w:sz w:val="20"/>
                <w:szCs w:val="20"/>
                <w14:textFill>
                  <w14:solidFill>
                    <w14:schemeClr w14:val="tx1"/>
                  </w14:solidFill>
                </w14:textFill>
              </w:rPr>
            </w:pPr>
          </w:p>
        </w:tc>
      </w:tr>
      <w:tr>
        <w:tblPrEx>
          <w:shd w:val="clear" w:color="auto" w:fill="FFFFFF" w:themeFill="background1"/>
          <w:tblCellMar>
            <w:top w:w="0" w:type="dxa"/>
            <w:left w:w="108" w:type="dxa"/>
            <w:bottom w:w="0" w:type="dxa"/>
            <w:right w:w="108" w:type="dxa"/>
          </w:tblCellMar>
        </w:tblPrEx>
        <w:trPr>
          <w:trHeight w:val="516" w:hRule="atLeast"/>
        </w:trPr>
        <w:tc>
          <w:tcPr>
            <w:tcW w:w="726" w:type="dxa"/>
            <w:vMerge w:val="continue"/>
            <w:tcBorders>
              <w:top w:val="single" w:color="auto" w:sz="4" w:space="0"/>
              <w:left w:val="single" w:color="auto" w:sz="8" w:space="0"/>
              <w:bottom w:val="single" w:color="auto" w:sz="4"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nil"/>
              <w:left w:val="nil"/>
              <w:bottom w:val="single" w:color="auto" w:sz="8" w:space="0"/>
              <w:right w:val="nil"/>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1</w:t>
            </w:r>
          </w:p>
        </w:tc>
        <w:tc>
          <w:tcPr>
            <w:tcW w:w="2303"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Penilaian Pelayanan Publik</w:t>
            </w:r>
          </w:p>
        </w:tc>
        <w:tc>
          <w:tcPr>
            <w:tcW w:w="3286"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Tidak terlaksana karena termasuk kegiatan yang terdampak rasionalisasi penanganan Covid-19</w:t>
            </w:r>
          </w:p>
        </w:tc>
        <w:tc>
          <w:tcPr>
            <w:tcW w:w="1179" w:type="dxa"/>
            <w:tcBorders>
              <w:top w:val="nil"/>
              <w:left w:val="nil"/>
              <w:bottom w:val="single" w:color="auto" w:sz="8" w:space="0"/>
              <w:right w:val="single" w:color="auto" w:sz="8" w:space="0"/>
            </w:tcBorders>
            <w:shd w:val="clear" w:color="auto" w:fill="FFFFFF" w:themeFill="background1"/>
          </w:tcPr>
          <w:p>
            <w:pPr>
              <w:rPr>
                <w:rFonts w:ascii="Tahoma" w:hAnsi="Tahoma" w:eastAsia="Times New Roman" w:cs="Tahoma"/>
                <w:color w:val="auto"/>
                <w:sz w:val="20"/>
                <w:szCs w:val="20"/>
              </w:rPr>
            </w:pPr>
            <w:r>
              <w:rPr>
                <w:rFonts w:ascii="Tahoma" w:hAnsi="Tahoma" w:eastAsia="Times New Roman" w:cs="Tahoma"/>
                <w:color w:val="auto"/>
                <w:sz w:val="20"/>
                <w:szCs w:val="20"/>
              </w:rPr>
              <w:t>-</w:t>
            </w:r>
          </w:p>
        </w:tc>
        <w:tc>
          <w:tcPr>
            <w:tcW w:w="1579" w:type="dxa"/>
            <w:tcBorders>
              <w:top w:val="nil"/>
              <w:left w:val="nil"/>
              <w:bottom w:val="single" w:color="auto" w:sz="8" w:space="0"/>
              <w:right w:val="single" w:color="auto" w:sz="8" w:space="0"/>
            </w:tcBorders>
            <w:shd w:val="clear" w:color="auto" w:fill="FFFFFF" w:themeFill="background1"/>
          </w:tcPr>
          <w:p>
            <w:pPr>
              <w:tabs>
                <w:tab w:val="center" w:pos="459"/>
                <w:tab w:val="left" w:pos="883"/>
              </w:tabs>
              <w:rPr>
                <w:rFonts w:ascii="Tahoma" w:hAnsi="Tahoma" w:eastAsia="Times New Roman" w:cs="Tahoma"/>
                <w:color w:val="auto"/>
                <w:sz w:val="20"/>
                <w:szCs w:val="20"/>
              </w:rPr>
            </w:pPr>
            <w:r>
              <w:rPr>
                <w:rFonts w:ascii="Tahoma" w:hAnsi="Tahoma" w:eastAsia="Times New Roman" w:cs="Tahoma"/>
                <w:color w:val="auto"/>
                <w:sz w:val="20"/>
                <w:szCs w:val="20"/>
              </w:rPr>
              <w:t>-</w:t>
            </w:r>
          </w:p>
        </w:tc>
      </w:tr>
      <w:tr>
        <w:tblPrEx>
          <w:tblCellMar>
            <w:top w:w="0" w:type="dxa"/>
            <w:left w:w="108" w:type="dxa"/>
            <w:bottom w:w="0" w:type="dxa"/>
            <w:right w:w="108" w:type="dxa"/>
          </w:tblCellMar>
        </w:tblPrEx>
        <w:trPr>
          <w:trHeight w:val="516" w:hRule="atLeast"/>
        </w:trPr>
        <w:tc>
          <w:tcPr>
            <w:tcW w:w="726" w:type="dxa"/>
            <w:vMerge w:val="continue"/>
            <w:tcBorders>
              <w:top w:val="single" w:color="auto" w:sz="4" w:space="0"/>
              <w:left w:val="single" w:color="auto" w:sz="8" w:space="0"/>
              <w:bottom w:val="single" w:color="auto" w:sz="4" w:space="0"/>
              <w:right w:val="single" w:color="auto" w:sz="8" w:space="0"/>
            </w:tcBorders>
            <w:shd w:val="clear" w:color="auto" w:fill="FFFFFF" w:themeFill="background1"/>
            <w:noWrap/>
          </w:tcPr>
          <w:p>
            <w:pPr>
              <w:jc w:val="center"/>
              <w:rPr>
                <w:rFonts w:ascii="Tahoma" w:hAnsi="Tahoma" w:eastAsia="Times New Roman" w:cs="Tahoma"/>
                <w:b/>
                <w:bCs/>
                <w:color w:val="000000" w:themeColor="text1"/>
                <w:sz w:val="20"/>
                <w:szCs w:val="20"/>
                <w14:textFill>
                  <w14:solidFill>
                    <w14:schemeClr w14:val="tx1"/>
                  </w14:solidFill>
                </w14:textFill>
              </w:rPr>
            </w:pPr>
          </w:p>
        </w:tc>
        <w:tc>
          <w:tcPr>
            <w:tcW w:w="554" w:type="dxa"/>
            <w:tcBorders>
              <w:top w:val="single" w:color="auto" w:sz="8" w:space="0"/>
              <w:left w:val="nil"/>
              <w:bottom w:val="single" w:color="auto" w:sz="4" w:space="0"/>
              <w:right w:val="nil"/>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2</w:t>
            </w:r>
          </w:p>
        </w:tc>
        <w:tc>
          <w:tcPr>
            <w:tcW w:w="2303" w:type="dxa"/>
            <w:tcBorders>
              <w:top w:val="single" w:color="auto" w:sz="8" w:space="0"/>
              <w:left w:val="nil"/>
              <w:bottom w:val="single" w:color="auto" w:sz="4" w:space="0"/>
              <w:right w:val="single" w:color="auto" w:sz="8" w:space="0"/>
            </w:tcBorders>
            <w:shd w:val="clear" w:color="auto" w:fill="FFFFFF" w:themeFill="background1"/>
          </w:tcPr>
          <w:p>
            <w:pPr>
              <w:rPr>
                <w:rFonts w:ascii="Tahoma" w:hAnsi="Tahoma" w:eastAsia="Times New Roman" w:cs="Tahoma"/>
                <w:color w:val="000000" w:themeColor="text1"/>
                <w:sz w:val="20"/>
                <w:szCs w:val="20"/>
                <w14:textFill>
                  <w14:solidFill>
                    <w14:schemeClr w14:val="tx1"/>
                  </w14:solidFill>
                </w14:textFill>
              </w:rPr>
            </w:pPr>
            <w:r>
              <w:rPr>
                <w:rFonts w:ascii="Tahoma" w:hAnsi="Tahoma" w:eastAsia="Times New Roman" w:cs="Tahoma"/>
                <w:color w:val="000000" w:themeColor="text1"/>
                <w:sz w:val="20"/>
                <w:szCs w:val="20"/>
                <w14:textFill>
                  <w14:solidFill>
                    <w14:schemeClr w14:val="tx1"/>
                  </w14:solidFill>
                </w14:textFill>
              </w:rPr>
              <w:t>Pengembangan Sistem Informasi Manajemen Samsat Link</w:t>
            </w:r>
          </w:p>
        </w:tc>
        <w:tc>
          <w:tcPr>
            <w:tcW w:w="3286" w:type="dxa"/>
            <w:tcBorders>
              <w:top w:val="single" w:color="auto" w:sz="8" w:space="0"/>
              <w:left w:val="nil"/>
              <w:bottom w:val="single" w:color="auto" w:sz="4" w:space="0"/>
              <w:right w:val="single" w:color="auto" w:sz="8" w:space="0"/>
            </w:tcBorders>
            <w:shd w:val="clear" w:color="auto" w:fill="FFFFFF" w:themeFill="background1"/>
          </w:tcPr>
          <w:p>
            <w:pPr>
              <w:rPr>
                <w:rFonts w:ascii="Tahoma" w:hAnsi="Tahoma" w:eastAsia="Times New Roman" w:cs="Tahoma"/>
                <w:sz w:val="20"/>
                <w:szCs w:val="20"/>
              </w:rPr>
            </w:pPr>
            <w:r>
              <w:rPr>
                <w:rFonts w:ascii="Tahoma" w:hAnsi="Tahoma" w:eastAsia="Times New Roman" w:cs="Tahoma"/>
                <w:sz w:val="20"/>
                <w:szCs w:val="20"/>
              </w:rPr>
              <w:t>Aplikasi Samsat Link berjalanan dengan baik</w:t>
            </w:r>
          </w:p>
        </w:tc>
        <w:tc>
          <w:tcPr>
            <w:tcW w:w="1179" w:type="dxa"/>
            <w:tcBorders>
              <w:top w:val="single" w:color="auto" w:sz="8" w:space="0"/>
              <w:left w:val="nil"/>
              <w:bottom w:val="single" w:color="auto" w:sz="4" w:space="0"/>
              <w:right w:val="single" w:color="auto" w:sz="8" w:space="0"/>
            </w:tcBorders>
            <w:shd w:val="clear" w:color="auto" w:fill="FFFFFF" w:themeFill="background1"/>
          </w:tcPr>
          <w:p>
            <w:pPr>
              <w:rPr>
                <w:rFonts w:ascii="Tahoma" w:hAnsi="Tahoma" w:eastAsia="Times New Roman" w:cs="Tahoma"/>
                <w:sz w:val="20"/>
                <w:szCs w:val="20"/>
              </w:rPr>
            </w:pPr>
            <w:r>
              <w:rPr>
                <w:rFonts w:ascii="Tahoma" w:hAnsi="Tahoma" w:eastAsia="Times New Roman" w:cs="Tahoma"/>
                <w:sz w:val="20"/>
                <w:szCs w:val="20"/>
              </w:rPr>
              <w:t>tahun</w:t>
            </w:r>
          </w:p>
        </w:tc>
        <w:tc>
          <w:tcPr>
            <w:tcW w:w="1579" w:type="dxa"/>
            <w:tcBorders>
              <w:top w:val="single" w:color="auto" w:sz="8" w:space="0"/>
              <w:left w:val="nil"/>
              <w:bottom w:val="single" w:color="auto" w:sz="4" w:space="0"/>
              <w:right w:val="single" w:color="auto" w:sz="8" w:space="0"/>
            </w:tcBorders>
            <w:shd w:val="clear" w:color="auto" w:fill="FFFFFF" w:themeFill="background1"/>
          </w:tcPr>
          <w:p>
            <w:pPr>
              <w:tabs>
                <w:tab w:val="center" w:pos="459"/>
                <w:tab w:val="left" w:pos="883"/>
              </w:tabs>
              <w:rPr>
                <w:rFonts w:ascii="Tahoma" w:hAnsi="Tahoma" w:eastAsia="Times New Roman" w:cs="Tahoma"/>
                <w:color w:val="C00000"/>
                <w:sz w:val="20"/>
                <w:szCs w:val="20"/>
              </w:rPr>
            </w:pPr>
            <w:r>
              <w:rPr>
                <w:rFonts w:ascii="Tahoma" w:hAnsi="Tahoma" w:eastAsia="Times New Roman" w:cs="Tahoma"/>
                <w:sz w:val="20"/>
                <w:szCs w:val="20"/>
              </w:rPr>
              <w:t>1</w:t>
            </w:r>
          </w:p>
        </w:tc>
      </w:tr>
    </w:tbl>
    <w:p>
      <w:pPr>
        <w:rPr>
          <w:rFonts w:ascii="Tahoma" w:hAnsi="Tahoma" w:cs="Tahoma"/>
          <w:color w:val="000000"/>
          <w:lang w:val="id-ID"/>
        </w:rPr>
      </w:pPr>
    </w:p>
    <w:p>
      <w:pPr>
        <w:rPr>
          <w:rFonts w:cs="MyriadPro-SemiCn"/>
          <w:b/>
          <w:color w:val="000000"/>
          <w:sz w:val="70"/>
          <w:szCs w:val="70"/>
          <w:lang w:val="id-ID"/>
        </w:rPr>
      </w:pPr>
    </w:p>
    <w:p>
      <w:pPr>
        <w:rPr>
          <w:rFonts w:cs="MyriadPro-SemiCn"/>
          <w:b/>
          <w:color w:val="000000"/>
          <w:sz w:val="70"/>
          <w:szCs w:val="70"/>
          <w:lang w:val="id-ID"/>
        </w:rPr>
      </w:pPr>
    </w:p>
    <w:p>
      <w:pPr>
        <w:rPr>
          <w:rFonts w:cs="MyriadPro-SemiCn"/>
          <w:b/>
          <w:color w:val="000000"/>
          <w:sz w:val="70"/>
          <w:szCs w:val="70"/>
          <w:lang w:val="id-ID"/>
        </w:rPr>
      </w:pPr>
    </w:p>
    <w:p>
      <w:pPr>
        <w:rPr>
          <w:rFonts w:cs="MyriadPro-SemiCn"/>
          <w:b/>
          <w:color w:val="000000"/>
          <w:sz w:val="70"/>
          <w:szCs w:val="70"/>
          <w:lang w:val="id-ID"/>
        </w:rPr>
      </w:pPr>
    </w:p>
    <w:p>
      <w:pPr>
        <w:rPr>
          <w:rFonts w:cs="MyriadPro-SemiCn"/>
          <w:b/>
          <w:color w:val="000000"/>
          <w:sz w:val="70"/>
          <w:szCs w:val="70"/>
          <w:lang w:val="id-ID"/>
        </w:rPr>
      </w:pPr>
    </w:p>
    <w:p>
      <w:pPr>
        <w:rPr>
          <w:rFonts w:cs="MyriadPro-SemiCn"/>
          <w:b/>
          <w:color w:val="000000"/>
          <w:sz w:val="70"/>
          <w:szCs w:val="70"/>
          <w:lang w:val="id-ID"/>
        </w:rPr>
      </w:pPr>
    </w:p>
    <w:p>
      <w:pPr>
        <w:rPr>
          <w:rFonts w:ascii="Tahoma" w:hAnsi="Tahoma" w:cs="Tahoma"/>
          <w:b/>
          <w:color w:val="000000"/>
          <w:sz w:val="60"/>
          <w:szCs w:val="60"/>
        </w:rPr>
      </w:pPr>
      <w:r>
        <w:rPr>
          <w:rFonts w:ascii="Tahoma" w:hAnsi="Tahoma" w:cs="Tahoma"/>
          <w:b/>
          <w:color w:val="000000"/>
          <w:sz w:val="60"/>
          <w:szCs w:val="60"/>
          <w:lang w:val="id-ID"/>
        </w:rPr>
        <w:t>B</w:t>
      </w:r>
      <w:r>
        <w:rPr>
          <w:rFonts w:ascii="Tahoma" w:hAnsi="Tahoma" w:cs="Tahoma"/>
          <w:b/>
          <w:color w:val="000000"/>
          <w:sz w:val="60"/>
          <w:szCs w:val="60"/>
        </w:rPr>
        <w:t>AB III</w:t>
      </w:r>
    </w:p>
    <w:p>
      <w:pPr>
        <w:autoSpaceDE w:val="0"/>
        <w:autoSpaceDN w:val="0"/>
        <w:adjustRightInd w:val="0"/>
        <w:spacing w:afterLines="200" w:line="240" w:lineRule="auto"/>
        <w:rPr>
          <w:rFonts w:ascii="Tahoma" w:hAnsi="Tahoma" w:cs="Tahoma"/>
          <w:b/>
          <w:bCs/>
          <w:color w:val="000000"/>
          <w:sz w:val="60"/>
          <w:szCs w:val="60"/>
        </w:rPr>
      </w:pPr>
      <w:r>
        <w:rPr>
          <w:rFonts w:ascii="Tahoma" w:hAnsi="Tahoma" w:cs="Tahoma"/>
          <w:b/>
          <w:bCs/>
          <w:color w:val="000000"/>
          <w:sz w:val="60"/>
          <w:szCs w:val="60"/>
        </w:rPr>
        <w:t xml:space="preserve">AKUNTABILITAS KINERJA </w:t>
      </w:r>
    </w:p>
    <w:p>
      <w:pPr>
        <w:autoSpaceDE w:val="0"/>
        <w:autoSpaceDN w:val="0"/>
        <w:adjustRightInd w:val="0"/>
        <w:spacing w:after="0" w:line="240" w:lineRule="auto"/>
        <w:rPr>
          <w:rFonts w:cs="MyriadPro-BoldCond"/>
          <w:b/>
          <w:bCs/>
          <w:color w:val="000000"/>
          <w:sz w:val="28"/>
          <w:szCs w:val="28"/>
          <w:lang w:val="id-ID"/>
        </w:rPr>
      </w:pPr>
    </w:p>
    <w:p>
      <w:pPr>
        <w:pStyle w:val="30"/>
        <w:numPr>
          <w:ilvl w:val="0"/>
          <w:numId w:val="25"/>
        </w:numPr>
        <w:autoSpaceDE w:val="0"/>
        <w:autoSpaceDN w:val="0"/>
        <w:adjustRightInd w:val="0"/>
        <w:spacing w:after="0" w:line="240" w:lineRule="auto"/>
        <w:ind w:left="440" w:hanging="440"/>
        <w:rPr>
          <w:rFonts w:ascii="Tahoma" w:hAnsi="Tahoma" w:cs="Tahoma"/>
          <w:b/>
          <w:bCs/>
          <w:color w:val="000000"/>
          <w:sz w:val="28"/>
          <w:szCs w:val="28"/>
          <w:lang w:val="id-ID"/>
        </w:rPr>
      </w:pPr>
      <w:r>
        <w:rPr>
          <w:rFonts w:ascii="Tahoma" w:hAnsi="Tahoma" w:cs="Tahoma"/>
          <w:b/>
          <w:bCs/>
          <w:color w:val="000000"/>
          <w:sz w:val="28"/>
          <w:szCs w:val="28"/>
          <w:lang w:val="id-ID"/>
        </w:rPr>
        <w:t>METODE PENGUKURAN</w:t>
      </w:r>
    </w:p>
    <w:p>
      <w:pPr>
        <w:pStyle w:val="9"/>
        <w:jc w:val="both"/>
        <w:rPr>
          <w:rFonts w:asciiTheme="minorHAnsi" w:hAnsiTheme="minorHAnsi"/>
          <w:lang w:val="id-ID"/>
        </w:rPr>
      </w:pPr>
    </w:p>
    <w:p>
      <w:pPr>
        <w:pStyle w:val="9"/>
        <w:spacing w:line="360" w:lineRule="auto"/>
        <w:ind w:left="440" w:leftChars="200"/>
        <w:jc w:val="both"/>
        <w:rPr>
          <w:rFonts w:ascii="Tahoma" w:hAnsi="Tahoma" w:cs="Tahoma"/>
        </w:rPr>
      </w:pPr>
      <w:r>
        <w:rPr>
          <w:rFonts w:ascii="Tahoma" w:hAnsi="Tahoma" w:cs="Tahoma"/>
        </w:rPr>
        <w:t>Pengukuran Kinerja merupakan hasil dari suatu penilaian yang sistematik dan didasarkan pada kelompok indikator kinerja kegiatan yang berupa indikator- indikator masukan, keluaran, hasil, manfaat, dan dampak. Penilaian tersebut tidak terlepas dari proses yang merupakan kegiatan mengolah masukan menjadi keluaran atau penilaian dalam proses penyusunan kebijakan/program/kegiatan yang dianggap penting dan berpengaruh terhadap pencapaian sasaran dan tujuan. Pengukuran kinerja digunakan sebagai dasar untuk menilai keberhasilan dan kegagalan dalam pelaksanaan kegiatan sesuai dengan sasaran dan tujuan yang telah ditetapkan dalam rangka mewujudkan visi dan misi.</w:t>
      </w:r>
    </w:p>
    <w:p>
      <w:pPr>
        <w:pStyle w:val="9"/>
        <w:spacing w:line="360" w:lineRule="auto"/>
        <w:ind w:left="440" w:leftChars="200"/>
        <w:jc w:val="both"/>
        <w:rPr>
          <w:rFonts w:ascii="Tahoma" w:hAnsi="Tahoma" w:cs="Tahoma"/>
        </w:rPr>
      </w:pPr>
      <w:r>
        <w:rPr>
          <w:rFonts w:ascii="Tahoma" w:hAnsi="Tahoma" w:cs="Tahoma"/>
        </w:rPr>
        <w:t xml:space="preserve">Pengukuran tingkat capaian kinerja </w:t>
      </w:r>
      <w:r>
        <w:rPr>
          <w:rFonts w:ascii="Tahoma" w:hAnsi="Tahoma" w:cs="Tahoma"/>
          <w:lang w:val="id-ID"/>
        </w:rPr>
        <w:t>Badan Keuangan Daerah</w:t>
      </w:r>
      <w:r>
        <w:rPr>
          <w:rFonts w:ascii="Tahoma" w:hAnsi="Tahoma" w:cs="Tahoma"/>
        </w:rPr>
        <w:t xml:space="preserve"> Provinsi Sumatera Barat pada tahun 20</w:t>
      </w:r>
      <w:r>
        <w:rPr>
          <w:rFonts w:ascii="Tahoma" w:hAnsi="Tahoma" w:cs="Tahoma"/>
          <w:lang w:val="id-ID"/>
        </w:rPr>
        <w:t>20</w:t>
      </w:r>
      <w:r>
        <w:rPr>
          <w:rFonts w:ascii="Tahoma" w:hAnsi="Tahoma" w:cs="Tahoma"/>
        </w:rPr>
        <w:t xml:space="preserve"> dilakukan dengan cara membandingkan antara target kinerja yang telah ditetapkan di awal tahun anggaran dan mengacu pada Rencana Strategis (Renstra) </w:t>
      </w:r>
      <w:r>
        <w:rPr>
          <w:rFonts w:ascii="Tahoma" w:hAnsi="Tahoma" w:cs="Tahoma"/>
          <w:lang w:val="id-ID"/>
        </w:rPr>
        <w:t>Badan Keuangan Daerah</w:t>
      </w:r>
      <w:r>
        <w:rPr>
          <w:rFonts w:ascii="Tahoma" w:hAnsi="Tahoma" w:cs="Tahoma"/>
        </w:rPr>
        <w:t xml:space="preserve"> Provinsi Sumatera Barat tahun 2016–2021,</w:t>
      </w:r>
      <w:r>
        <w:rPr>
          <w:rFonts w:ascii="Tahoma" w:hAnsi="Tahoma" w:cs="Tahoma"/>
          <w:lang w:val="id-ID"/>
        </w:rPr>
        <w:t>hitungannya dengan menggunakan :</w:t>
      </w:r>
    </w:p>
    <w:p>
      <w:pPr>
        <w:pStyle w:val="30"/>
        <w:widowControl w:val="0"/>
        <w:numPr>
          <w:ilvl w:val="0"/>
          <w:numId w:val="26"/>
        </w:numPr>
        <w:spacing w:before="2" w:afterLines="50" w:line="360" w:lineRule="auto"/>
        <w:contextualSpacing w:val="0"/>
        <w:jc w:val="both"/>
        <w:rPr>
          <w:rFonts w:ascii="Tahoma" w:hAnsi="Tahoma" w:cs="Tahoma"/>
          <w:lang w:val="id-ID"/>
        </w:rPr>
      </w:pPr>
      <w:r>
        <w:rPr>
          <w:rFonts w:ascii="Tahoma" w:hAnsi="Tahoma" w:cs="Tahoma"/>
        </w:rPr>
        <w:t xml:space="preserve">(Realisasi/Target x 100%) untuk capaian </w:t>
      </w:r>
      <w:r>
        <w:rPr>
          <w:rFonts w:ascii="Tahoma" w:hAnsi="Tahoma" w:cs="Tahoma"/>
          <w:lang w:val="id-ID"/>
        </w:rPr>
        <w:t>&gt; adalah baik</w:t>
      </w:r>
    </w:p>
    <w:p>
      <w:pPr>
        <w:pStyle w:val="30"/>
        <w:widowControl w:val="0"/>
        <w:numPr>
          <w:ilvl w:val="0"/>
          <w:numId w:val="26"/>
        </w:numPr>
        <w:spacing w:afterLines="20" w:line="240" w:lineRule="auto"/>
        <w:ind w:left="1242" w:hanging="363"/>
        <w:contextualSpacing w:val="0"/>
        <w:jc w:val="both"/>
        <w:rPr>
          <w:rFonts w:ascii="Tahoma" w:hAnsi="Tahoma" w:cs="Tahoma"/>
          <w:lang w:val="id-ID"/>
        </w:rPr>
      </w:pPr>
      <w:r>
        <mc:AlternateContent>
          <mc:Choice Requires="wps">
            <w:drawing>
              <wp:anchor distT="0" distB="0" distL="114300" distR="114300" simplePos="0" relativeHeight="251765760" behindDoc="0" locked="0" layoutInCell="1" allowOverlap="1">
                <wp:simplePos x="0" y="0"/>
                <wp:positionH relativeFrom="column">
                  <wp:posOffset>809625</wp:posOffset>
                </wp:positionH>
                <wp:positionV relativeFrom="paragraph">
                  <wp:posOffset>163195</wp:posOffset>
                </wp:positionV>
                <wp:extent cx="1409700" cy="9525"/>
                <wp:effectExtent l="0" t="0" r="0" b="0"/>
                <wp:wrapNone/>
                <wp:docPr id="118" name="Lines 104"/>
                <wp:cNvGraphicFramePr/>
                <a:graphic xmlns:a="http://schemas.openxmlformats.org/drawingml/2006/main">
                  <a:graphicData uri="http://schemas.microsoft.com/office/word/2010/wordprocessingShape">
                    <wps:wsp>
                      <wps:cNvCnPr/>
                      <wps:spPr>
                        <a:xfrm flipV="1">
                          <a:off x="0" y="0"/>
                          <a:ext cx="1409700" cy="95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s 104" o:spid="_x0000_s1026" o:spt="20" style="position:absolute;left:0pt;flip:y;margin-left:63.75pt;margin-top:12.85pt;height:0.75pt;width:111pt;z-index:251765760;mso-width-relative:page;mso-height-relative:page;" filled="f" stroked="t" coordsize="21600,21600" o:gfxdata="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Q7UTdYA&#10;AAAJAQAADwAAAAAAAAABACAAAAAiAAAAZHJzL2Rvd25yZXYueG1sUEsBAhQAFAAAAAgAh07iQFPA&#10;UhDoAQAA+QMAAA4AAAAAAAAAAQAgAAAAJQEAAGRycy9lMm9Eb2MueG1sUEsFBgAAAAAGAAYAWQEA&#10;AH8FAAAAAA==&#10;">
                <v:fill on="f" focussize="0,0"/>
                <v:stroke color="#000000" joinstyle="round"/>
                <v:imagedata o:title=""/>
                <o:lock v:ext="edit" aspectratio="f"/>
              </v:line>
            </w:pict>
          </mc:Fallback>
        </mc:AlternateContent>
      </w:r>
      <w:r>
        <w:rPr>
          <w:rFonts w:ascii="Tahoma" w:hAnsi="Tahoma" w:cs="Tahoma"/>
          <w:lang w:val="id-ID"/>
        </w:rPr>
        <w:t xml:space="preserve">(2 x Target) </w:t>
      </w:r>
      <w:r>
        <w:rPr>
          <w:rFonts w:ascii="Tahoma" w:hAnsi="Tahoma" w:cs="Tahoma"/>
        </w:rPr>
        <w:t xml:space="preserve">- </w:t>
      </w:r>
      <w:r>
        <w:rPr>
          <w:rFonts w:ascii="Tahoma" w:hAnsi="Tahoma" w:cs="Tahoma"/>
          <w:lang w:val="id-ID"/>
        </w:rPr>
        <w:t>Realisasi x 100 % untuk capaian &lt; adalah baik</w:t>
      </w:r>
    </w:p>
    <w:p>
      <w:pPr>
        <w:pStyle w:val="30"/>
        <w:widowControl w:val="0"/>
        <w:spacing w:before="2" w:afterLines="50" w:line="360" w:lineRule="auto"/>
        <w:ind w:left="880"/>
        <w:contextualSpacing w:val="0"/>
        <w:jc w:val="both"/>
        <w:rPr>
          <w:rFonts w:ascii="Tahoma" w:hAnsi="Tahoma" w:cs="Tahoma"/>
        </w:rPr>
      </w:pPr>
      <w:r>
        <w:rPr>
          <w:rFonts w:ascii="Tahoma" w:hAnsi="Tahoma" w:cs="Tahoma"/>
        </w:rPr>
        <w:t xml:space="preserve">                 Target</w:t>
      </w:r>
    </w:p>
    <w:p>
      <w:pPr>
        <w:pStyle w:val="9"/>
        <w:spacing w:line="360" w:lineRule="auto"/>
        <w:ind w:left="440" w:leftChars="200"/>
        <w:jc w:val="both"/>
        <w:rPr>
          <w:rFonts w:ascii="Tahoma" w:hAnsi="Tahoma" w:cs="Tahoma"/>
        </w:rPr>
      </w:pPr>
      <w:r>
        <w:rPr>
          <w:rFonts w:ascii="Tahoma" w:hAnsi="Tahoma" w:cs="Tahoma"/>
        </w:rPr>
        <w:t xml:space="preserve">Pengukuran kinerja dilakukan dengan menggunakan indikator kinerja kegiatan yang dilakukan dengan memanfaatkan data kinerja yang diperoleh melalui data internal yang ditetapkan oleh instansi yaitu berasal dari </w:t>
      </w:r>
      <w:r>
        <w:rPr>
          <w:rFonts w:ascii="Tahoma" w:hAnsi="Tahoma" w:cs="Tahoma"/>
          <w:lang w:val="id-ID"/>
        </w:rPr>
        <w:t>Badan Keuangan Daerah</w:t>
      </w:r>
      <w:r>
        <w:rPr>
          <w:rFonts w:ascii="Tahoma" w:hAnsi="Tahoma" w:cs="Tahoma"/>
        </w:rPr>
        <w:t>, maupun data eksternal yang berasal dari luar instansi.</w:t>
      </w:r>
    </w:p>
    <w:p>
      <w:pPr>
        <w:pStyle w:val="9"/>
        <w:spacing w:line="360" w:lineRule="auto"/>
        <w:ind w:left="440" w:leftChars="200"/>
        <w:jc w:val="both"/>
        <w:rPr>
          <w:rFonts w:ascii="Tahoma" w:hAnsi="Tahoma" w:cs="Tahoma"/>
        </w:rPr>
      </w:pPr>
      <w:r>
        <w:rPr>
          <w:rFonts w:ascii="Tahoma" w:hAnsi="Tahoma" w:cs="Tahoma"/>
        </w:rPr>
        <w:t xml:space="preserve">Pengumpulan data kinerja dilakukan untuk memperoleh data yang akurat, lengkap, tepat waktu, dan konsisten, yang berguna dalam pengambilan keputusan dan penyusunan rencana kegiatan untuk tahun berikutnya. Pengumpulan data kinerja untuk indikator kinerja kegiatan yang terdiri dari indikator-indikator masukan, keluaran, dan hasil, dilakukan secara terencana dan sistematis setiap tahun untuk mengukur kehematan, efektivitas, efisiensi, dan kualitas pencapaian sasaran. Sedangkan pengumpulan data kinerja untuk indikator manfaat dan dampak dapat diukur pada akhir periode selesainya suatu program atau dalam rangka mengukur pencapaian tujuan-tujuan instansi pemerintah, dalam hal ini adalah </w:t>
      </w:r>
      <w:r>
        <w:rPr>
          <w:rFonts w:ascii="Tahoma" w:hAnsi="Tahoma" w:cs="Tahoma"/>
          <w:lang w:val="id-ID"/>
        </w:rPr>
        <w:t>Badan Keuangan Daerah</w:t>
      </w:r>
      <w:r>
        <w:rPr>
          <w:rFonts w:ascii="Tahoma" w:hAnsi="Tahoma" w:cs="Tahoma"/>
        </w:rPr>
        <w:t xml:space="preserve"> Provinsi Sumatera Barat.</w:t>
      </w:r>
    </w:p>
    <w:p>
      <w:pPr>
        <w:pStyle w:val="9"/>
        <w:spacing w:line="360" w:lineRule="auto"/>
        <w:ind w:left="440" w:leftChars="200"/>
        <w:jc w:val="both"/>
        <w:rPr>
          <w:rFonts w:ascii="Tahoma" w:hAnsi="Tahoma" w:cs="Tahoma"/>
          <w:lang w:val="id-ID"/>
        </w:rPr>
      </w:pPr>
      <w:r>
        <w:rPr>
          <w:rFonts w:ascii="Tahoma" w:hAnsi="Tahoma" w:cs="Tahoma"/>
        </w:rPr>
        <w:t xml:space="preserve">Pengukuran kinerja mencakup kinerja kegiatan yang merupakan tingkat pencapaian target (rencana tingkat capaian) dari masing-masing kelompok indikator kinerja kegiatan dan tingkat pencapaian sasaran instansi pemerintah yang merupakan tingkat pencapaian target (rencana tingkat capaian) dan masing-masing indikator sasaran yang telah ditetapkan dalam dokumen rencana kerja. Pengukuran tingkat pencapaian sasaran didasarkan pada data hasil pengukuran kinerja kegiatan. Sesuai dengan Peraturan Menteri Negara Pendayagunaan Aparatur Negara dan Reformasi Birokrasi Nomor </w:t>
      </w:r>
      <w:r>
        <w:rPr>
          <w:rFonts w:ascii="Tahoma" w:hAnsi="Tahoma" w:cs="Tahoma"/>
          <w:lang w:val="id-ID"/>
        </w:rPr>
        <w:t>53</w:t>
      </w:r>
      <w:r>
        <w:rPr>
          <w:rFonts w:hint="default" w:ascii="Tahoma" w:hAnsi="Tahoma" w:cs="Tahoma"/>
          <w:lang w:val="en-US"/>
        </w:rPr>
        <w:t xml:space="preserve"> </w:t>
      </w:r>
      <w:r>
        <w:rPr>
          <w:rFonts w:ascii="Tahoma" w:hAnsi="Tahoma" w:cs="Tahoma"/>
        </w:rPr>
        <w:t>Tahun 201</w:t>
      </w:r>
      <w:r>
        <w:rPr>
          <w:rFonts w:ascii="Tahoma" w:hAnsi="Tahoma" w:cs="Tahoma"/>
          <w:lang w:val="id-ID"/>
        </w:rPr>
        <w:t>4</w:t>
      </w:r>
      <w:r>
        <w:rPr>
          <w:rFonts w:ascii="Tahoma" w:hAnsi="Tahoma" w:cs="Tahoma"/>
        </w:rPr>
        <w:t>, tentang Pedoman Penyusunan Penetapan Kinerja Dan Pelaporan Akuntabilitas Kinerja Instansi Pemerintah, maka pengukuran kinerja dilakukan terhadap pencapaian sasaran strategis yang ada, yang disampaikan dalam Formulir Pengukuran Kinerja (PK).</w:t>
      </w:r>
    </w:p>
    <w:p>
      <w:pPr>
        <w:pStyle w:val="9"/>
        <w:spacing w:line="360" w:lineRule="auto"/>
        <w:ind w:left="440" w:leftChars="200"/>
        <w:jc w:val="both"/>
        <w:rPr>
          <w:rFonts w:ascii="Tahoma" w:hAnsi="Tahoma" w:cs="Tahoma"/>
        </w:rPr>
      </w:pPr>
      <w:r>
        <w:rPr>
          <w:rFonts w:ascii="Tahoma" w:hAnsi="Tahoma" w:cs="Tahoma"/>
        </w:rPr>
        <w:t>Berdasarkan hasil-hasil perhitungan pengukuran kinerja kegiatan, dilakukan evaluasi terhadap pencapaian setiap indikator kinerja kegiatan untuk memberikan penjelasan lebih lanjut tentang hal-hal yang mendukung keberhasilan dan kegagalan pelaksanaan suatu kegiatan. Evaluasi bertujuan agar diketahui pencapaian realisasi, kemajuan dan kendala yang dijumpai dalam rangka pencapaian misi, agar dapat dinilai dan dipelajari guna perbaikan pelaksanaan program/kegiatan dimasa yang akan datang.</w:t>
      </w:r>
    </w:p>
    <w:p>
      <w:pPr>
        <w:pStyle w:val="9"/>
        <w:spacing w:line="360" w:lineRule="auto"/>
        <w:ind w:left="440" w:leftChars="200"/>
        <w:jc w:val="both"/>
        <w:rPr>
          <w:rFonts w:ascii="Tahoma" w:hAnsi="Tahoma" w:cs="Tahoma"/>
        </w:rPr>
      </w:pPr>
      <w:r>
        <w:rPr>
          <w:rFonts w:ascii="Tahoma" w:hAnsi="Tahoma" w:cs="Tahoma"/>
        </w:rPr>
        <w:t>Evaluasi kinerja dilakukan terhadap analisis efisiensi dengan cara membandingkan antara output dengan input baik untuk rencana maupun realisasinya. Evaluasi dilakukan pula pengukuran/penentuan tingkat efektivitas yang menggambarkan tingkat kesesuaian antara tujuan dengan hasil, manfaat, atau dampak. Evaluasi juga dilakukan terhadap setiap perbedaan kinerja yang terjadi, baik terhadap penyebab terjadinya kendala maupun strategi pemecahan masalah yang telah dan akan dilaksanakan.</w:t>
      </w:r>
    </w:p>
    <w:p>
      <w:pPr>
        <w:pStyle w:val="9"/>
        <w:spacing w:after="0" w:line="360" w:lineRule="auto"/>
        <w:ind w:left="440" w:leftChars="200"/>
        <w:jc w:val="both"/>
        <w:rPr>
          <w:rFonts w:ascii="Tahoma" w:hAnsi="Tahoma" w:cs="Tahoma"/>
        </w:rPr>
      </w:pPr>
      <w:r>
        <w:rPr>
          <w:rFonts w:ascii="Tahoma" w:hAnsi="Tahoma" w:cs="Tahoma"/>
        </w:rPr>
        <w:t>Dalam melakukan evaluasi kinerja, perlu juga digunakan pembandingan- pembandingan antara lain:</w:t>
      </w:r>
    </w:p>
    <w:p>
      <w:pPr>
        <w:pStyle w:val="30"/>
        <w:widowControl w:val="0"/>
        <w:numPr>
          <w:ilvl w:val="0"/>
          <w:numId w:val="27"/>
        </w:numPr>
        <w:spacing w:before="2" w:after="0" w:line="360" w:lineRule="auto"/>
        <w:ind w:left="880" w:leftChars="200" w:hanging="440" w:hangingChars="200"/>
        <w:contextualSpacing w:val="0"/>
        <w:jc w:val="both"/>
        <w:rPr>
          <w:rFonts w:ascii="Tahoma" w:hAnsi="Tahoma" w:cs="Tahoma"/>
        </w:rPr>
      </w:pPr>
      <w:r>
        <w:rPr>
          <w:rFonts w:ascii="Tahoma" w:hAnsi="Tahoma" w:cs="Tahoma"/>
        </w:rPr>
        <w:t>Kinerja nyata dengan target kinerja yang direncanakan.</w:t>
      </w:r>
    </w:p>
    <w:p>
      <w:pPr>
        <w:pStyle w:val="30"/>
        <w:widowControl w:val="0"/>
        <w:numPr>
          <w:ilvl w:val="0"/>
          <w:numId w:val="27"/>
        </w:numPr>
        <w:spacing w:before="2" w:after="0" w:line="360" w:lineRule="auto"/>
        <w:ind w:left="880" w:leftChars="200" w:hanging="440" w:hangingChars="200"/>
        <w:contextualSpacing w:val="0"/>
        <w:jc w:val="both"/>
        <w:rPr>
          <w:rFonts w:ascii="Tahoma" w:hAnsi="Tahoma" w:cs="Tahoma"/>
        </w:rPr>
      </w:pPr>
      <w:r>
        <w:rPr>
          <w:rFonts w:ascii="Tahoma" w:hAnsi="Tahoma" w:cs="Tahoma"/>
        </w:rPr>
        <w:t>Kinerja nyata dengan hasil kinerja tahun-tahun sebelumnya.</w:t>
      </w:r>
    </w:p>
    <w:p>
      <w:pPr>
        <w:pStyle w:val="30"/>
        <w:widowControl w:val="0"/>
        <w:numPr>
          <w:ilvl w:val="0"/>
          <w:numId w:val="27"/>
        </w:numPr>
        <w:spacing w:after="0" w:line="360" w:lineRule="auto"/>
        <w:ind w:left="869" w:leftChars="200" w:hanging="429" w:hangingChars="195"/>
        <w:contextualSpacing w:val="0"/>
        <w:jc w:val="both"/>
        <w:rPr>
          <w:rFonts w:ascii="Tahoma" w:hAnsi="Tahoma" w:cs="Tahoma"/>
        </w:rPr>
      </w:pPr>
      <w:r>
        <w:rPr>
          <w:rFonts w:ascii="Tahoma" w:hAnsi="Tahoma" w:cs="Tahoma"/>
        </w:rPr>
        <w:t xml:space="preserve">Kinerja suatu instansi dengan kinerja instansi lain yang unggul di bidangnya </w:t>
      </w:r>
      <w:r>
        <w:rPr>
          <w:rFonts w:hint="default" w:ascii="Tahoma" w:hAnsi="Tahoma" w:cs="Tahoma"/>
          <w:lang w:val="en-US"/>
        </w:rPr>
        <w:t xml:space="preserve"> </w:t>
      </w:r>
      <w:r>
        <w:rPr>
          <w:rFonts w:ascii="Tahoma" w:hAnsi="Tahoma" w:cs="Tahoma"/>
        </w:rPr>
        <w:t>ataupun dengan kinerja sektor swasta.</w:t>
      </w:r>
    </w:p>
    <w:p>
      <w:pPr>
        <w:pStyle w:val="30"/>
        <w:widowControl w:val="0"/>
        <w:numPr>
          <w:ilvl w:val="0"/>
          <w:numId w:val="27"/>
        </w:numPr>
        <w:spacing w:before="2" w:afterLines="50" w:line="360" w:lineRule="auto"/>
        <w:ind w:left="880" w:leftChars="200" w:hanging="440" w:hangingChars="200"/>
        <w:contextualSpacing w:val="0"/>
        <w:jc w:val="both"/>
        <w:rPr>
          <w:rFonts w:ascii="Tahoma" w:hAnsi="Tahoma" w:cs="Tahoma"/>
        </w:rPr>
      </w:pPr>
      <w:r>
        <w:rPr>
          <w:rFonts w:ascii="Tahoma" w:hAnsi="Tahoma" w:cs="Tahoma"/>
        </w:rPr>
        <w:t>Kinerja nyata dengan kinerja di negara-negara lain atau dengan standar internasional.</w:t>
      </w:r>
    </w:p>
    <w:p>
      <w:pPr>
        <w:pStyle w:val="9"/>
        <w:spacing w:line="360" w:lineRule="auto"/>
        <w:ind w:left="440" w:leftChars="200"/>
        <w:jc w:val="both"/>
        <w:rPr>
          <w:rFonts w:ascii="Tahoma" w:hAnsi="Tahoma" w:cs="Tahoma"/>
          <w:lang w:val="id-ID"/>
        </w:rPr>
      </w:pPr>
      <w:r>
        <w:rPr>
          <w:rFonts w:ascii="Tahoma" w:hAnsi="Tahoma" w:cs="Tahoma"/>
        </w:rPr>
        <w:t>Laporan Akuntabilitas Kinerja Instansi Pemerintah (LAKIP) harus menyajikan data dan informasi yang relevan bagi pembuat keputusan agar dapat menginterpretasikan keberhasilan dan kegagalan secara lebih luas dan mendalam. Analisis akuntabilitas kinerja meliputi uraian keterkaitan pencapaian kinerja kegiatan dengan program dan kebijakan dalam mewujudkan sasaran, tujuan, misi, dan visi yang ditetapkan dalam rencana strategis. Dalam analisis ini dijelaskan pula perkembangan kondisi pencapaian sasaran dan tujuan secara efisien dan efektif, sesuai dengan kebijakan, program, dan kegiatan yang telah ditetapkan. Analisis dilakukan dengan menggunakan informasi/data yang diperoleh secara lengkap dan akurat, dan bila memungkinkan dilakukan pula evaluasi kebijakan untuk mengetahui ketepatan dan efektivitas baik untuk kebijakan itu sendiri maupun sistem dan proses pelaksanaannya.</w:t>
      </w:r>
    </w:p>
    <w:p>
      <w:pPr>
        <w:pStyle w:val="9"/>
        <w:spacing w:line="360" w:lineRule="auto"/>
        <w:ind w:left="440" w:leftChars="200"/>
        <w:jc w:val="both"/>
        <w:rPr>
          <w:rFonts w:ascii="Tahoma" w:hAnsi="Tahoma" w:cs="Tahoma"/>
          <w:bCs w:val="0"/>
          <w:color w:val="000000"/>
          <w:sz w:val="22"/>
          <w:szCs w:val="22"/>
          <w:lang w:val="id-ID"/>
        </w:rPr>
      </w:pPr>
      <w:r>
        <w:rPr>
          <w:rFonts w:ascii="Tahoma" w:hAnsi="Tahoma" w:cs="Tahoma"/>
          <w:lang w:val="id-ID"/>
        </w:rPr>
        <w:t>Skala penilaian terhadap kinerja pemerintah dapat dilihat pada tabel dibawah ini :</w:t>
      </w:r>
    </w:p>
    <w:p>
      <w:pPr>
        <w:pStyle w:val="20"/>
        <w:numPr>
          <w:ilvl w:val="0"/>
          <w:numId w:val="0"/>
        </w:numPr>
        <w:spacing w:before="120" w:afterLines="50"/>
        <w:rPr>
          <w:rFonts w:ascii="Tahoma" w:hAnsi="Tahoma" w:cs="Tahoma"/>
          <w:bCs w:val="0"/>
          <w:color w:val="000000"/>
          <w:sz w:val="22"/>
          <w:szCs w:val="22"/>
        </w:rPr>
      </w:pPr>
      <w:r>
        <w:rPr>
          <w:rFonts w:ascii="Tahoma" w:hAnsi="Tahoma" w:cs="Tahoma"/>
          <w:bCs w:val="0"/>
          <w:color w:val="000000"/>
          <w:sz w:val="22"/>
          <w:szCs w:val="22"/>
          <w:lang w:val="id-ID"/>
        </w:rPr>
        <w:t>Tabel</w:t>
      </w:r>
      <w:r>
        <w:rPr>
          <w:rFonts w:ascii="Tahoma" w:hAnsi="Tahoma" w:cs="Tahoma"/>
          <w:bCs w:val="0"/>
          <w:color w:val="000000"/>
          <w:sz w:val="22"/>
          <w:szCs w:val="22"/>
        </w:rPr>
        <w:t xml:space="preserve"> 3.1</w:t>
      </w:r>
    </w:p>
    <w:p>
      <w:pPr>
        <w:pStyle w:val="20"/>
        <w:numPr>
          <w:ilvl w:val="0"/>
          <w:numId w:val="0"/>
        </w:numPr>
        <w:spacing w:afterLines="100"/>
        <w:ind w:hanging="11"/>
        <w:rPr>
          <w:rFonts w:cs="Calibri" w:asciiTheme="minorHAnsi" w:hAnsiTheme="minorHAnsi"/>
          <w:color w:val="000000"/>
          <w:spacing w:val="-2"/>
        </w:rPr>
      </w:pPr>
      <w:r>
        <w:rPr>
          <w:rFonts w:ascii="Tahoma" w:hAnsi="Tahoma" w:cs="Tahoma"/>
          <w:bCs w:val="0"/>
          <w:color w:val="000000"/>
          <w:sz w:val="22"/>
          <w:szCs w:val="22"/>
          <w:lang w:val="id-ID"/>
        </w:rPr>
        <w:t>Penilaian Kinerja</w:t>
      </w:r>
    </w:p>
    <w:tbl>
      <w:tblPr>
        <w:tblStyle w:val="7"/>
        <w:tblW w:w="7960" w:type="dxa"/>
        <w:jc w:val="center"/>
        <w:tblLayout w:type="fixed"/>
        <w:tblCellMar>
          <w:top w:w="0" w:type="dxa"/>
          <w:left w:w="0" w:type="dxa"/>
          <w:bottom w:w="0" w:type="dxa"/>
          <w:right w:w="0" w:type="dxa"/>
        </w:tblCellMar>
      </w:tblPr>
      <w:tblGrid>
        <w:gridCol w:w="591"/>
        <w:gridCol w:w="2532"/>
        <w:gridCol w:w="2903"/>
        <w:gridCol w:w="1934"/>
      </w:tblGrid>
      <w:tr>
        <w:tblPrEx>
          <w:tblCellMar>
            <w:top w:w="0" w:type="dxa"/>
            <w:left w:w="0" w:type="dxa"/>
            <w:bottom w:w="0" w:type="dxa"/>
            <w:right w:w="0" w:type="dxa"/>
          </w:tblCellMar>
        </w:tblPrEx>
        <w:trPr>
          <w:trHeight w:val="484" w:hRule="exact"/>
          <w:jc w:val="center"/>
        </w:trPr>
        <w:tc>
          <w:tcPr>
            <w:tcW w:w="591" w:type="dxa"/>
            <w:tcBorders>
              <w:top w:val="single" w:color="00AF50" w:sz="4" w:space="0"/>
              <w:left w:val="single" w:color="00AF50" w:sz="4" w:space="0"/>
              <w:bottom w:val="single" w:color="00AF50" w:sz="4" w:space="0"/>
              <w:right w:val="single" w:color="00AF50" w:sz="4" w:space="0"/>
            </w:tcBorders>
            <w:shd w:val="clear" w:color="auto" w:fill="FFFFFF"/>
            <w:vAlign w:val="center"/>
          </w:tcPr>
          <w:p>
            <w:pPr>
              <w:widowControl w:val="0"/>
              <w:tabs>
                <w:tab w:val="left" w:pos="9000"/>
              </w:tabs>
              <w:autoSpaceDE w:val="0"/>
              <w:autoSpaceDN w:val="0"/>
              <w:adjustRightInd w:val="0"/>
              <w:spacing w:after="0" w:line="240" w:lineRule="auto"/>
              <w:ind w:left="12" w:right="29"/>
              <w:jc w:val="center"/>
              <w:rPr>
                <w:rFonts w:ascii="Tahoma" w:hAnsi="Tahoma" w:cs="Tahoma"/>
                <w:color w:val="000000"/>
                <w:spacing w:val="-2"/>
              </w:rPr>
            </w:pPr>
            <w:r>
              <w:rPr>
                <w:rFonts w:ascii="Tahoma" w:hAnsi="Tahoma" w:cs="Tahoma"/>
                <w:color w:val="000000"/>
                <w:spacing w:val="-2"/>
              </w:rPr>
              <w:t>No.</w:t>
            </w:r>
          </w:p>
        </w:tc>
        <w:tc>
          <w:tcPr>
            <w:tcW w:w="2532" w:type="dxa"/>
            <w:tcBorders>
              <w:top w:val="single" w:color="00AF50" w:sz="4" w:space="0"/>
              <w:left w:val="single" w:color="00AF50" w:sz="4" w:space="0"/>
              <w:bottom w:val="single" w:color="00AF50" w:sz="4" w:space="0"/>
              <w:right w:val="single" w:color="00AF50" w:sz="4" w:space="0"/>
            </w:tcBorders>
            <w:shd w:val="clear" w:color="auto" w:fill="FFFFFF"/>
            <w:vAlign w:val="center"/>
          </w:tcPr>
          <w:p>
            <w:pPr>
              <w:widowControl w:val="0"/>
              <w:tabs>
                <w:tab w:val="left" w:pos="9000"/>
              </w:tabs>
              <w:autoSpaceDE w:val="0"/>
              <w:autoSpaceDN w:val="0"/>
              <w:adjustRightInd w:val="0"/>
              <w:spacing w:after="0" w:line="240" w:lineRule="auto"/>
              <w:ind w:left="12" w:right="29"/>
              <w:jc w:val="center"/>
              <w:rPr>
                <w:rFonts w:ascii="Tahoma" w:hAnsi="Tahoma" w:cs="Tahoma"/>
                <w:color w:val="000000"/>
                <w:spacing w:val="-2"/>
              </w:rPr>
            </w:pPr>
            <w:r>
              <w:rPr>
                <w:rFonts w:ascii="Tahoma" w:hAnsi="Tahoma" w:cs="Tahoma"/>
                <w:color w:val="000000"/>
                <w:spacing w:val="-2"/>
              </w:rPr>
              <w:t>Klasifikasi</w:t>
            </w:r>
          </w:p>
        </w:tc>
        <w:tc>
          <w:tcPr>
            <w:tcW w:w="2903" w:type="dxa"/>
            <w:tcBorders>
              <w:top w:val="single" w:color="00AF50" w:sz="4" w:space="0"/>
              <w:left w:val="single" w:color="00AF50" w:sz="4" w:space="0"/>
              <w:bottom w:val="single" w:color="00AF50" w:sz="4" w:space="0"/>
              <w:right w:val="single" w:color="00AF50" w:sz="4" w:space="0"/>
            </w:tcBorders>
            <w:shd w:val="clear" w:color="auto" w:fill="FFFFFF"/>
            <w:vAlign w:val="center"/>
          </w:tcPr>
          <w:p>
            <w:pPr>
              <w:widowControl w:val="0"/>
              <w:tabs>
                <w:tab w:val="left" w:pos="9000"/>
              </w:tabs>
              <w:autoSpaceDE w:val="0"/>
              <w:autoSpaceDN w:val="0"/>
              <w:adjustRightInd w:val="0"/>
              <w:spacing w:after="0" w:line="240" w:lineRule="auto"/>
              <w:ind w:left="12" w:right="29"/>
              <w:jc w:val="center"/>
              <w:rPr>
                <w:rFonts w:ascii="Tahoma" w:hAnsi="Tahoma" w:cs="Tahoma"/>
                <w:color w:val="000000"/>
                <w:spacing w:val="-2"/>
              </w:rPr>
            </w:pPr>
            <w:r>
              <w:rPr>
                <w:rFonts w:ascii="Tahoma" w:hAnsi="Tahoma" w:cs="Tahoma"/>
                <w:color w:val="000000"/>
                <w:spacing w:val="-2"/>
              </w:rPr>
              <w:t>Predikat</w:t>
            </w:r>
          </w:p>
        </w:tc>
        <w:tc>
          <w:tcPr>
            <w:tcW w:w="1934" w:type="dxa"/>
            <w:tcBorders>
              <w:top w:val="single" w:color="00AF50" w:sz="4" w:space="0"/>
              <w:left w:val="single" w:color="00AF50" w:sz="4" w:space="0"/>
              <w:bottom w:val="single" w:color="00AF50" w:sz="4" w:space="0"/>
              <w:right w:val="single" w:color="00AF50" w:sz="4" w:space="0"/>
            </w:tcBorders>
            <w:shd w:val="clear" w:color="auto" w:fill="FFFFFF"/>
            <w:vAlign w:val="center"/>
          </w:tcPr>
          <w:p>
            <w:pPr>
              <w:widowControl w:val="0"/>
              <w:tabs>
                <w:tab w:val="left" w:pos="9000"/>
              </w:tabs>
              <w:autoSpaceDE w:val="0"/>
              <w:autoSpaceDN w:val="0"/>
              <w:adjustRightInd w:val="0"/>
              <w:spacing w:after="0" w:line="240" w:lineRule="auto"/>
              <w:ind w:left="12" w:right="29"/>
              <w:jc w:val="center"/>
              <w:rPr>
                <w:rFonts w:ascii="Tahoma" w:hAnsi="Tahoma" w:cs="Tahoma"/>
                <w:color w:val="000000"/>
                <w:spacing w:val="-2"/>
              </w:rPr>
            </w:pPr>
            <w:r>
              <w:rPr>
                <w:rFonts w:ascii="Tahoma" w:hAnsi="Tahoma" w:cs="Tahoma"/>
                <w:color w:val="000000"/>
                <w:spacing w:val="-2"/>
              </w:rPr>
              <w:t>Kode</w:t>
            </w:r>
          </w:p>
        </w:tc>
      </w:tr>
      <w:tr>
        <w:tblPrEx>
          <w:tblCellMar>
            <w:top w:w="0" w:type="dxa"/>
            <w:left w:w="0" w:type="dxa"/>
            <w:bottom w:w="0" w:type="dxa"/>
            <w:right w:w="0" w:type="dxa"/>
          </w:tblCellMar>
        </w:tblPrEx>
        <w:trPr>
          <w:trHeight w:val="495" w:hRule="exact"/>
          <w:jc w:val="center"/>
        </w:trPr>
        <w:tc>
          <w:tcPr>
            <w:tcW w:w="591" w:type="dxa"/>
            <w:tcBorders>
              <w:top w:val="single" w:color="00AF50" w:sz="4" w:space="0"/>
              <w:left w:val="single" w:color="00AF50" w:sz="4" w:space="0"/>
              <w:bottom w:val="single" w:color="00AF50" w:sz="4" w:space="0"/>
              <w:right w:val="single" w:color="00AF50" w:sz="4" w:space="0"/>
            </w:tcBorders>
            <w:shd w:val="clear" w:color="auto" w:fill="auto"/>
            <w:vAlign w:val="center"/>
          </w:tcPr>
          <w:p>
            <w:pPr>
              <w:widowControl w:val="0"/>
              <w:tabs>
                <w:tab w:val="left" w:pos="9000"/>
              </w:tabs>
              <w:autoSpaceDE w:val="0"/>
              <w:autoSpaceDN w:val="0"/>
              <w:adjustRightInd w:val="0"/>
              <w:spacing w:after="0" w:line="240" w:lineRule="auto"/>
              <w:ind w:left="12" w:right="29"/>
              <w:jc w:val="center"/>
              <w:rPr>
                <w:rFonts w:ascii="Tahoma" w:hAnsi="Tahoma" w:cs="Tahoma"/>
                <w:color w:val="000000"/>
                <w:spacing w:val="-2"/>
              </w:rPr>
            </w:pPr>
            <w:r>
              <w:rPr>
                <w:rFonts w:ascii="Tahoma" w:hAnsi="Tahoma" w:cs="Tahoma"/>
                <w:color w:val="000000"/>
                <w:spacing w:val="-2"/>
              </w:rPr>
              <w:t>1.</w:t>
            </w:r>
          </w:p>
        </w:tc>
        <w:tc>
          <w:tcPr>
            <w:tcW w:w="2532" w:type="dxa"/>
            <w:tcBorders>
              <w:top w:val="single" w:color="00AF50" w:sz="4" w:space="0"/>
              <w:left w:val="single" w:color="00AF50" w:sz="4" w:space="0"/>
              <w:bottom w:val="single" w:color="00AF50" w:sz="4" w:space="0"/>
              <w:right w:val="single" w:color="00AF50" w:sz="4" w:space="0"/>
            </w:tcBorders>
            <w:shd w:val="clear" w:color="auto" w:fill="auto"/>
            <w:vAlign w:val="center"/>
          </w:tcPr>
          <w:p>
            <w:pPr>
              <w:widowControl w:val="0"/>
              <w:tabs>
                <w:tab w:val="left" w:pos="9000"/>
              </w:tabs>
              <w:autoSpaceDE w:val="0"/>
              <w:autoSpaceDN w:val="0"/>
              <w:adjustRightInd w:val="0"/>
              <w:spacing w:after="0" w:line="240" w:lineRule="auto"/>
              <w:ind w:left="12" w:right="29"/>
              <w:jc w:val="center"/>
              <w:rPr>
                <w:rFonts w:ascii="Tahoma" w:hAnsi="Tahoma" w:cs="Tahoma"/>
                <w:color w:val="000000"/>
                <w:spacing w:val="-2"/>
              </w:rPr>
            </w:pPr>
            <w:r>
              <w:rPr>
                <w:rFonts w:ascii="Tahoma" w:hAnsi="Tahoma" w:cs="Tahoma"/>
                <w:color w:val="000000"/>
                <w:spacing w:val="-2"/>
              </w:rPr>
              <w:t>85% - 100%</w:t>
            </w:r>
          </w:p>
        </w:tc>
        <w:tc>
          <w:tcPr>
            <w:tcW w:w="2903" w:type="dxa"/>
            <w:tcBorders>
              <w:top w:val="single" w:color="00AF50" w:sz="4" w:space="0"/>
              <w:left w:val="single" w:color="00AF50" w:sz="4" w:space="0"/>
              <w:bottom w:val="single" w:color="00AF50" w:sz="4" w:space="0"/>
              <w:right w:val="single" w:color="00AF50" w:sz="4" w:space="0"/>
            </w:tcBorders>
            <w:shd w:val="clear" w:color="auto" w:fill="auto"/>
            <w:vAlign w:val="center"/>
          </w:tcPr>
          <w:p>
            <w:pPr>
              <w:widowControl w:val="0"/>
              <w:tabs>
                <w:tab w:val="left" w:pos="9000"/>
              </w:tabs>
              <w:autoSpaceDE w:val="0"/>
              <w:autoSpaceDN w:val="0"/>
              <w:adjustRightInd w:val="0"/>
              <w:spacing w:after="0" w:line="240" w:lineRule="auto"/>
              <w:ind w:left="12" w:right="29"/>
              <w:jc w:val="center"/>
              <w:rPr>
                <w:rFonts w:ascii="Tahoma" w:hAnsi="Tahoma" w:cs="Tahoma"/>
                <w:color w:val="000000"/>
                <w:spacing w:val="-2"/>
              </w:rPr>
            </w:pPr>
            <w:r>
              <w:rPr>
                <w:rFonts w:ascii="Tahoma" w:hAnsi="Tahoma" w:cs="Tahoma"/>
                <w:color w:val="000000"/>
                <w:spacing w:val="-2"/>
              </w:rPr>
              <w:t>Sangat Baik</w:t>
            </w:r>
          </w:p>
        </w:tc>
        <w:tc>
          <w:tcPr>
            <w:tcW w:w="1934" w:type="dxa"/>
            <w:tcBorders>
              <w:top w:val="single" w:color="00AF50" w:sz="4" w:space="0"/>
              <w:left w:val="single" w:color="00AF50" w:sz="4" w:space="0"/>
              <w:bottom w:val="single" w:color="00AF50" w:sz="4" w:space="0"/>
              <w:right w:val="single" w:color="00AF50" w:sz="4" w:space="0"/>
            </w:tcBorders>
            <w:shd w:val="clear" w:color="auto" w:fill="548DD4"/>
            <w:vAlign w:val="center"/>
          </w:tcPr>
          <w:p>
            <w:pPr>
              <w:widowControl w:val="0"/>
              <w:tabs>
                <w:tab w:val="left" w:pos="9000"/>
              </w:tabs>
              <w:autoSpaceDE w:val="0"/>
              <w:autoSpaceDN w:val="0"/>
              <w:adjustRightInd w:val="0"/>
              <w:spacing w:after="0" w:line="240" w:lineRule="auto"/>
              <w:ind w:left="12" w:right="29"/>
              <w:jc w:val="center"/>
              <w:rPr>
                <w:rFonts w:ascii="Tahoma" w:hAnsi="Tahoma" w:cs="Tahoma"/>
                <w:color w:val="000000"/>
                <w:spacing w:val="-2"/>
              </w:rPr>
            </w:pPr>
          </w:p>
        </w:tc>
      </w:tr>
      <w:tr>
        <w:tblPrEx>
          <w:tblCellMar>
            <w:top w:w="0" w:type="dxa"/>
            <w:left w:w="0" w:type="dxa"/>
            <w:bottom w:w="0" w:type="dxa"/>
            <w:right w:w="0" w:type="dxa"/>
          </w:tblCellMar>
        </w:tblPrEx>
        <w:trPr>
          <w:trHeight w:val="442" w:hRule="exact"/>
          <w:jc w:val="center"/>
        </w:trPr>
        <w:tc>
          <w:tcPr>
            <w:tcW w:w="591" w:type="dxa"/>
            <w:tcBorders>
              <w:top w:val="single" w:color="00AF50" w:sz="4" w:space="0"/>
              <w:left w:val="single" w:color="00AF50" w:sz="4" w:space="0"/>
              <w:bottom w:val="single" w:color="00AF50" w:sz="4" w:space="0"/>
              <w:right w:val="single" w:color="00AF50" w:sz="4" w:space="0"/>
            </w:tcBorders>
            <w:shd w:val="clear" w:color="auto" w:fill="auto"/>
            <w:vAlign w:val="center"/>
          </w:tcPr>
          <w:p>
            <w:pPr>
              <w:widowControl w:val="0"/>
              <w:tabs>
                <w:tab w:val="left" w:pos="9000"/>
              </w:tabs>
              <w:autoSpaceDE w:val="0"/>
              <w:autoSpaceDN w:val="0"/>
              <w:adjustRightInd w:val="0"/>
              <w:spacing w:after="0" w:line="240" w:lineRule="auto"/>
              <w:ind w:left="12" w:right="29"/>
              <w:jc w:val="center"/>
              <w:rPr>
                <w:rFonts w:ascii="Tahoma" w:hAnsi="Tahoma" w:cs="Tahoma"/>
                <w:color w:val="000000"/>
                <w:spacing w:val="-2"/>
              </w:rPr>
            </w:pPr>
            <w:r>
              <w:rPr>
                <w:rFonts w:ascii="Tahoma" w:hAnsi="Tahoma" w:cs="Tahoma"/>
                <w:color w:val="000000"/>
                <w:spacing w:val="-2"/>
              </w:rPr>
              <w:t>2.</w:t>
            </w:r>
          </w:p>
        </w:tc>
        <w:tc>
          <w:tcPr>
            <w:tcW w:w="2532" w:type="dxa"/>
            <w:tcBorders>
              <w:top w:val="single" w:color="00AF50" w:sz="4" w:space="0"/>
              <w:left w:val="single" w:color="00AF50" w:sz="4" w:space="0"/>
              <w:bottom w:val="single" w:color="00AF50" w:sz="4" w:space="0"/>
              <w:right w:val="single" w:color="00AF50" w:sz="4" w:space="0"/>
            </w:tcBorders>
            <w:shd w:val="clear" w:color="auto" w:fill="auto"/>
            <w:vAlign w:val="center"/>
          </w:tcPr>
          <w:p>
            <w:pPr>
              <w:widowControl w:val="0"/>
              <w:tabs>
                <w:tab w:val="left" w:pos="9000"/>
              </w:tabs>
              <w:autoSpaceDE w:val="0"/>
              <w:autoSpaceDN w:val="0"/>
              <w:adjustRightInd w:val="0"/>
              <w:spacing w:after="0" w:line="240" w:lineRule="auto"/>
              <w:ind w:left="12" w:right="29"/>
              <w:jc w:val="center"/>
              <w:rPr>
                <w:rFonts w:ascii="Tahoma" w:hAnsi="Tahoma" w:cs="Tahoma"/>
                <w:color w:val="000000"/>
                <w:spacing w:val="-2"/>
              </w:rPr>
            </w:pPr>
            <w:r>
              <w:rPr>
                <w:rFonts w:ascii="Tahoma" w:hAnsi="Tahoma" w:cs="Tahoma"/>
                <w:color w:val="000000"/>
                <w:spacing w:val="-2"/>
              </w:rPr>
              <w:t>69% - 84%</w:t>
            </w:r>
          </w:p>
        </w:tc>
        <w:tc>
          <w:tcPr>
            <w:tcW w:w="2903" w:type="dxa"/>
            <w:tcBorders>
              <w:top w:val="single" w:color="00AF50" w:sz="4" w:space="0"/>
              <w:left w:val="single" w:color="00AF50" w:sz="4" w:space="0"/>
              <w:bottom w:val="single" w:color="00AF50" w:sz="4" w:space="0"/>
              <w:right w:val="single" w:color="00AF50" w:sz="4" w:space="0"/>
            </w:tcBorders>
            <w:shd w:val="clear" w:color="auto" w:fill="auto"/>
            <w:vAlign w:val="center"/>
          </w:tcPr>
          <w:p>
            <w:pPr>
              <w:widowControl w:val="0"/>
              <w:tabs>
                <w:tab w:val="left" w:pos="9000"/>
              </w:tabs>
              <w:autoSpaceDE w:val="0"/>
              <w:autoSpaceDN w:val="0"/>
              <w:adjustRightInd w:val="0"/>
              <w:spacing w:after="0" w:line="240" w:lineRule="auto"/>
              <w:ind w:left="12" w:right="29"/>
              <w:jc w:val="center"/>
              <w:rPr>
                <w:rFonts w:ascii="Tahoma" w:hAnsi="Tahoma" w:cs="Tahoma"/>
                <w:color w:val="000000"/>
                <w:spacing w:val="-2"/>
              </w:rPr>
            </w:pPr>
            <w:r>
              <w:rPr>
                <w:rFonts w:ascii="Tahoma" w:hAnsi="Tahoma" w:cs="Tahoma"/>
                <w:color w:val="000000"/>
                <w:spacing w:val="-2"/>
              </w:rPr>
              <w:t>Baik</w:t>
            </w:r>
          </w:p>
        </w:tc>
        <w:tc>
          <w:tcPr>
            <w:tcW w:w="1934" w:type="dxa"/>
            <w:tcBorders>
              <w:top w:val="single" w:color="00AF50" w:sz="4" w:space="0"/>
              <w:left w:val="single" w:color="00AF50" w:sz="4" w:space="0"/>
              <w:bottom w:val="single" w:color="00AF50" w:sz="4" w:space="0"/>
              <w:right w:val="single" w:color="00AF50" w:sz="4" w:space="0"/>
            </w:tcBorders>
            <w:shd w:val="clear" w:color="auto" w:fill="9BBA58"/>
            <w:vAlign w:val="center"/>
          </w:tcPr>
          <w:p>
            <w:pPr>
              <w:widowControl w:val="0"/>
              <w:tabs>
                <w:tab w:val="left" w:pos="9000"/>
              </w:tabs>
              <w:autoSpaceDE w:val="0"/>
              <w:autoSpaceDN w:val="0"/>
              <w:adjustRightInd w:val="0"/>
              <w:spacing w:after="0" w:line="240" w:lineRule="auto"/>
              <w:ind w:left="12" w:right="29"/>
              <w:jc w:val="center"/>
              <w:rPr>
                <w:rFonts w:ascii="Tahoma" w:hAnsi="Tahoma" w:cs="Tahoma"/>
                <w:color w:val="000000"/>
                <w:spacing w:val="-2"/>
              </w:rPr>
            </w:pPr>
          </w:p>
        </w:tc>
      </w:tr>
      <w:tr>
        <w:tblPrEx>
          <w:tblCellMar>
            <w:top w:w="0" w:type="dxa"/>
            <w:left w:w="0" w:type="dxa"/>
            <w:bottom w:w="0" w:type="dxa"/>
            <w:right w:w="0" w:type="dxa"/>
          </w:tblCellMar>
        </w:tblPrEx>
        <w:trPr>
          <w:trHeight w:val="448" w:hRule="exact"/>
          <w:jc w:val="center"/>
        </w:trPr>
        <w:tc>
          <w:tcPr>
            <w:tcW w:w="591" w:type="dxa"/>
            <w:tcBorders>
              <w:top w:val="single" w:color="00AF50" w:sz="4" w:space="0"/>
              <w:left w:val="single" w:color="00AF50" w:sz="4" w:space="0"/>
              <w:bottom w:val="single" w:color="00AF50" w:sz="4" w:space="0"/>
              <w:right w:val="single" w:color="00AF50" w:sz="4" w:space="0"/>
            </w:tcBorders>
            <w:shd w:val="clear" w:color="auto" w:fill="auto"/>
            <w:vAlign w:val="center"/>
          </w:tcPr>
          <w:p>
            <w:pPr>
              <w:widowControl w:val="0"/>
              <w:tabs>
                <w:tab w:val="left" w:pos="9000"/>
              </w:tabs>
              <w:autoSpaceDE w:val="0"/>
              <w:autoSpaceDN w:val="0"/>
              <w:adjustRightInd w:val="0"/>
              <w:spacing w:after="0" w:line="240" w:lineRule="auto"/>
              <w:ind w:left="12" w:right="29"/>
              <w:jc w:val="center"/>
              <w:rPr>
                <w:rFonts w:ascii="Tahoma" w:hAnsi="Tahoma" w:cs="Tahoma"/>
                <w:color w:val="000000"/>
                <w:spacing w:val="-2"/>
              </w:rPr>
            </w:pPr>
            <w:r>
              <w:rPr>
                <w:rFonts w:ascii="Tahoma" w:hAnsi="Tahoma" w:cs="Tahoma"/>
                <w:color w:val="000000"/>
                <w:spacing w:val="-2"/>
              </w:rPr>
              <w:t>3.</w:t>
            </w:r>
          </w:p>
        </w:tc>
        <w:tc>
          <w:tcPr>
            <w:tcW w:w="2532" w:type="dxa"/>
            <w:tcBorders>
              <w:top w:val="single" w:color="00AF50" w:sz="4" w:space="0"/>
              <w:left w:val="single" w:color="00AF50" w:sz="4" w:space="0"/>
              <w:bottom w:val="single" w:color="00AF50" w:sz="4" w:space="0"/>
              <w:right w:val="single" w:color="00AF50" w:sz="4" w:space="0"/>
            </w:tcBorders>
            <w:shd w:val="clear" w:color="auto" w:fill="auto"/>
            <w:vAlign w:val="center"/>
          </w:tcPr>
          <w:p>
            <w:pPr>
              <w:widowControl w:val="0"/>
              <w:tabs>
                <w:tab w:val="left" w:pos="9000"/>
              </w:tabs>
              <w:autoSpaceDE w:val="0"/>
              <w:autoSpaceDN w:val="0"/>
              <w:adjustRightInd w:val="0"/>
              <w:spacing w:after="0" w:line="240" w:lineRule="auto"/>
              <w:ind w:left="12" w:right="29"/>
              <w:jc w:val="center"/>
              <w:rPr>
                <w:rFonts w:ascii="Tahoma" w:hAnsi="Tahoma" w:cs="Tahoma"/>
                <w:color w:val="000000"/>
                <w:spacing w:val="-2"/>
              </w:rPr>
            </w:pPr>
            <w:r>
              <w:rPr>
                <w:rFonts w:ascii="Tahoma" w:hAnsi="Tahoma" w:cs="Tahoma"/>
                <w:color w:val="000000"/>
                <w:spacing w:val="-2"/>
              </w:rPr>
              <w:t>53% - 68%</w:t>
            </w:r>
          </w:p>
        </w:tc>
        <w:tc>
          <w:tcPr>
            <w:tcW w:w="2903" w:type="dxa"/>
            <w:tcBorders>
              <w:top w:val="single" w:color="00AF50" w:sz="4" w:space="0"/>
              <w:left w:val="single" w:color="00AF50" w:sz="4" w:space="0"/>
              <w:bottom w:val="single" w:color="00AF50" w:sz="4" w:space="0"/>
              <w:right w:val="single" w:color="00AF50" w:sz="4" w:space="0"/>
            </w:tcBorders>
            <w:shd w:val="clear" w:color="auto" w:fill="auto"/>
            <w:vAlign w:val="center"/>
          </w:tcPr>
          <w:p>
            <w:pPr>
              <w:widowControl w:val="0"/>
              <w:tabs>
                <w:tab w:val="left" w:pos="9000"/>
              </w:tabs>
              <w:autoSpaceDE w:val="0"/>
              <w:autoSpaceDN w:val="0"/>
              <w:adjustRightInd w:val="0"/>
              <w:spacing w:after="0" w:line="240" w:lineRule="auto"/>
              <w:ind w:left="12" w:right="29"/>
              <w:jc w:val="center"/>
              <w:rPr>
                <w:rFonts w:ascii="Tahoma" w:hAnsi="Tahoma" w:cs="Tahoma"/>
                <w:color w:val="000000"/>
                <w:spacing w:val="-2"/>
              </w:rPr>
            </w:pPr>
            <w:r>
              <w:rPr>
                <w:rFonts w:ascii="Tahoma" w:hAnsi="Tahoma" w:cs="Tahoma"/>
                <w:color w:val="000000"/>
                <w:spacing w:val="-2"/>
              </w:rPr>
              <w:t>Cukup</w:t>
            </w:r>
          </w:p>
        </w:tc>
        <w:tc>
          <w:tcPr>
            <w:tcW w:w="1934" w:type="dxa"/>
            <w:tcBorders>
              <w:top w:val="single" w:color="00AF50" w:sz="4" w:space="0"/>
              <w:left w:val="single" w:color="00AF50" w:sz="4" w:space="0"/>
              <w:bottom w:val="single" w:color="00AF50" w:sz="4" w:space="0"/>
              <w:right w:val="single" w:color="00AF50" w:sz="4" w:space="0"/>
            </w:tcBorders>
            <w:shd w:val="clear" w:color="auto" w:fill="FFC000"/>
            <w:vAlign w:val="center"/>
          </w:tcPr>
          <w:p>
            <w:pPr>
              <w:widowControl w:val="0"/>
              <w:tabs>
                <w:tab w:val="left" w:pos="9000"/>
              </w:tabs>
              <w:autoSpaceDE w:val="0"/>
              <w:autoSpaceDN w:val="0"/>
              <w:adjustRightInd w:val="0"/>
              <w:spacing w:after="0" w:line="240" w:lineRule="auto"/>
              <w:ind w:left="12" w:right="29"/>
              <w:jc w:val="center"/>
              <w:rPr>
                <w:rFonts w:ascii="Tahoma" w:hAnsi="Tahoma" w:cs="Tahoma"/>
                <w:color w:val="000000"/>
                <w:spacing w:val="-2"/>
              </w:rPr>
            </w:pPr>
          </w:p>
        </w:tc>
      </w:tr>
      <w:tr>
        <w:tblPrEx>
          <w:tblCellMar>
            <w:top w:w="0" w:type="dxa"/>
            <w:left w:w="0" w:type="dxa"/>
            <w:bottom w:w="0" w:type="dxa"/>
            <w:right w:w="0" w:type="dxa"/>
          </w:tblCellMar>
        </w:tblPrEx>
        <w:trPr>
          <w:trHeight w:val="454" w:hRule="exact"/>
          <w:jc w:val="center"/>
        </w:trPr>
        <w:tc>
          <w:tcPr>
            <w:tcW w:w="591" w:type="dxa"/>
            <w:tcBorders>
              <w:top w:val="single" w:color="00AF50" w:sz="4" w:space="0"/>
              <w:left w:val="single" w:color="00AF50" w:sz="4" w:space="0"/>
              <w:bottom w:val="single" w:color="00AF50" w:sz="4" w:space="0"/>
              <w:right w:val="single" w:color="00AF50" w:sz="4" w:space="0"/>
            </w:tcBorders>
            <w:shd w:val="clear" w:color="auto" w:fill="auto"/>
            <w:vAlign w:val="center"/>
          </w:tcPr>
          <w:p>
            <w:pPr>
              <w:widowControl w:val="0"/>
              <w:tabs>
                <w:tab w:val="left" w:pos="9000"/>
              </w:tabs>
              <w:autoSpaceDE w:val="0"/>
              <w:autoSpaceDN w:val="0"/>
              <w:adjustRightInd w:val="0"/>
              <w:spacing w:after="0" w:line="240" w:lineRule="auto"/>
              <w:ind w:left="12" w:right="29"/>
              <w:jc w:val="center"/>
              <w:rPr>
                <w:rFonts w:ascii="Tahoma" w:hAnsi="Tahoma" w:cs="Tahoma"/>
                <w:color w:val="000000"/>
                <w:spacing w:val="-2"/>
              </w:rPr>
            </w:pPr>
            <w:r>
              <w:rPr>
                <w:rFonts w:ascii="Tahoma" w:hAnsi="Tahoma" w:cs="Tahoma"/>
                <w:color w:val="000000"/>
                <w:spacing w:val="-2"/>
              </w:rPr>
              <w:t>4.</w:t>
            </w:r>
          </w:p>
        </w:tc>
        <w:tc>
          <w:tcPr>
            <w:tcW w:w="2532" w:type="dxa"/>
            <w:tcBorders>
              <w:top w:val="single" w:color="00AF50" w:sz="4" w:space="0"/>
              <w:left w:val="single" w:color="00AF50" w:sz="4" w:space="0"/>
              <w:bottom w:val="single" w:color="00AF50" w:sz="4" w:space="0"/>
              <w:right w:val="single" w:color="00AF50" w:sz="4" w:space="0"/>
            </w:tcBorders>
            <w:shd w:val="clear" w:color="auto" w:fill="auto"/>
            <w:vAlign w:val="center"/>
          </w:tcPr>
          <w:p>
            <w:pPr>
              <w:widowControl w:val="0"/>
              <w:tabs>
                <w:tab w:val="left" w:pos="9000"/>
              </w:tabs>
              <w:autoSpaceDE w:val="0"/>
              <w:autoSpaceDN w:val="0"/>
              <w:adjustRightInd w:val="0"/>
              <w:spacing w:after="0" w:line="240" w:lineRule="auto"/>
              <w:ind w:left="12" w:right="29"/>
              <w:jc w:val="center"/>
              <w:rPr>
                <w:rFonts w:ascii="Tahoma" w:hAnsi="Tahoma" w:cs="Tahoma"/>
                <w:color w:val="000000"/>
                <w:spacing w:val="-2"/>
              </w:rPr>
            </w:pPr>
            <w:r>
              <w:rPr>
                <w:rFonts w:ascii="Tahoma" w:hAnsi="Tahoma" w:cs="Tahoma"/>
                <w:color w:val="000000"/>
                <w:spacing w:val="-2"/>
              </w:rPr>
              <w:t>‹ 53%</w:t>
            </w:r>
          </w:p>
        </w:tc>
        <w:tc>
          <w:tcPr>
            <w:tcW w:w="2903" w:type="dxa"/>
            <w:tcBorders>
              <w:top w:val="single" w:color="00AF50" w:sz="4" w:space="0"/>
              <w:left w:val="single" w:color="00AF50" w:sz="4" w:space="0"/>
              <w:bottom w:val="single" w:color="00AF50" w:sz="4" w:space="0"/>
              <w:right w:val="single" w:color="00AF50" w:sz="4" w:space="0"/>
            </w:tcBorders>
            <w:shd w:val="clear" w:color="auto" w:fill="auto"/>
            <w:vAlign w:val="center"/>
          </w:tcPr>
          <w:p>
            <w:pPr>
              <w:widowControl w:val="0"/>
              <w:tabs>
                <w:tab w:val="left" w:pos="9000"/>
              </w:tabs>
              <w:autoSpaceDE w:val="0"/>
              <w:autoSpaceDN w:val="0"/>
              <w:adjustRightInd w:val="0"/>
              <w:spacing w:after="0" w:line="240" w:lineRule="auto"/>
              <w:ind w:left="12" w:right="29"/>
              <w:jc w:val="center"/>
              <w:rPr>
                <w:rFonts w:ascii="Tahoma" w:hAnsi="Tahoma" w:cs="Tahoma"/>
                <w:color w:val="000000"/>
                <w:spacing w:val="-2"/>
              </w:rPr>
            </w:pPr>
            <w:r>
              <w:rPr>
                <w:rFonts w:ascii="Tahoma" w:hAnsi="Tahoma" w:cs="Tahoma"/>
                <w:color w:val="000000"/>
                <w:spacing w:val="-2"/>
              </w:rPr>
              <w:t>Gagal</w:t>
            </w:r>
          </w:p>
        </w:tc>
        <w:tc>
          <w:tcPr>
            <w:tcW w:w="1934" w:type="dxa"/>
            <w:tcBorders>
              <w:top w:val="single" w:color="00AF50" w:sz="4" w:space="0"/>
              <w:left w:val="single" w:color="00AF50" w:sz="4" w:space="0"/>
              <w:bottom w:val="single" w:color="00AF50" w:sz="4" w:space="0"/>
              <w:right w:val="single" w:color="00AF50" w:sz="4" w:space="0"/>
            </w:tcBorders>
            <w:shd w:val="clear" w:color="auto" w:fill="FF0000"/>
            <w:vAlign w:val="center"/>
          </w:tcPr>
          <w:p>
            <w:pPr>
              <w:widowControl w:val="0"/>
              <w:tabs>
                <w:tab w:val="left" w:pos="9000"/>
              </w:tabs>
              <w:autoSpaceDE w:val="0"/>
              <w:autoSpaceDN w:val="0"/>
              <w:adjustRightInd w:val="0"/>
              <w:spacing w:after="0" w:line="240" w:lineRule="auto"/>
              <w:ind w:left="12" w:right="29"/>
              <w:jc w:val="center"/>
              <w:rPr>
                <w:rFonts w:ascii="Tahoma" w:hAnsi="Tahoma" w:cs="Tahoma"/>
                <w:color w:val="000000"/>
                <w:spacing w:val="-2"/>
              </w:rPr>
            </w:pPr>
          </w:p>
        </w:tc>
      </w:tr>
    </w:tbl>
    <w:p>
      <w:pPr>
        <w:widowControl w:val="0"/>
        <w:tabs>
          <w:tab w:val="left" w:pos="9000"/>
        </w:tabs>
        <w:autoSpaceDE w:val="0"/>
        <w:autoSpaceDN w:val="0"/>
        <w:adjustRightInd w:val="0"/>
        <w:spacing w:after="0" w:line="360" w:lineRule="auto"/>
        <w:ind w:left="12" w:right="29"/>
        <w:jc w:val="both"/>
        <w:rPr>
          <w:rFonts w:cs="Calibri" w:asciiTheme="minorHAnsi" w:hAnsiTheme="minorHAnsi"/>
          <w:color w:val="000000"/>
          <w:spacing w:val="-2"/>
        </w:rPr>
      </w:pPr>
    </w:p>
    <w:p>
      <w:pPr>
        <w:widowControl w:val="0"/>
        <w:tabs>
          <w:tab w:val="left" w:pos="9000"/>
        </w:tabs>
        <w:autoSpaceDE w:val="0"/>
        <w:autoSpaceDN w:val="0"/>
        <w:adjustRightInd w:val="0"/>
        <w:spacing w:after="0" w:line="360" w:lineRule="auto"/>
        <w:ind w:left="12" w:right="29"/>
        <w:jc w:val="both"/>
        <w:rPr>
          <w:rFonts w:cs="Calibri" w:asciiTheme="minorHAnsi" w:hAnsiTheme="minorHAnsi"/>
          <w:color w:val="000000"/>
          <w:spacing w:val="-2"/>
        </w:rPr>
      </w:pPr>
    </w:p>
    <w:p>
      <w:pPr>
        <w:widowControl w:val="0"/>
        <w:tabs>
          <w:tab w:val="left" w:pos="9000"/>
        </w:tabs>
        <w:autoSpaceDE w:val="0"/>
        <w:autoSpaceDN w:val="0"/>
        <w:adjustRightInd w:val="0"/>
        <w:spacing w:after="0" w:line="360" w:lineRule="auto"/>
        <w:ind w:right="29"/>
        <w:jc w:val="both"/>
        <w:rPr>
          <w:rFonts w:cs="Calibri" w:asciiTheme="minorHAnsi" w:hAnsiTheme="minorHAnsi"/>
          <w:color w:val="000000"/>
          <w:spacing w:val="-2"/>
        </w:rPr>
      </w:pPr>
    </w:p>
    <w:p>
      <w:pPr>
        <w:pStyle w:val="20"/>
        <w:numPr>
          <w:ilvl w:val="0"/>
          <w:numId w:val="25"/>
        </w:numPr>
        <w:tabs>
          <w:tab w:val="clear" w:pos="1080"/>
        </w:tabs>
        <w:spacing w:before="240" w:line="360" w:lineRule="auto"/>
        <w:ind w:left="440" w:hanging="440"/>
        <w:jc w:val="both"/>
        <w:rPr>
          <w:rFonts w:ascii="Tahoma" w:hAnsi="Tahoma" w:cs="Tahoma"/>
          <w:color w:val="000000"/>
          <w:sz w:val="28"/>
          <w:szCs w:val="28"/>
        </w:rPr>
      </w:pPr>
      <w:r>
        <w:rPr>
          <w:rFonts w:ascii="Tahoma" w:hAnsi="Tahoma" w:cs="Tahoma"/>
          <w:color w:val="000000"/>
          <w:sz w:val="28"/>
          <w:szCs w:val="28"/>
          <w:lang w:val="id-ID"/>
        </w:rPr>
        <w:t xml:space="preserve">HASIL </w:t>
      </w:r>
      <w:r>
        <w:rPr>
          <w:rFonts w:ascii="Tahoma" w:hAnsi="Tahoma" w:cs="Tahoma"/>
          <w:color w:val="000000"/>
          <w:sz w:val="28"/>
          <w:szCs w:val="28"/>
        </w:rPr>
        <w:t>PENGUKURAN KINERJA</w:t>
      </w:r>
    </w:p>
    <w:p>
      <w:pPr>
        <w:pStyle w:val="20"/>
        <w:numPr>
          <w:ilvl w:val="0"/>
          <w:numId w:val="0"/>
        </w:numPr>
        <w:spacing w:before="240" w:line="360" w:lineRule="auto"/>
        <w:ind w:left="447" w:hanging="7"/>
        <w:jc w:val="both"/>
        <w:rPr>
          <w:rFonts w:ascii="Tahoma" w:hAnsi="Tahoma" w:cs="Tahoma"/>
          <w:b w:val="0"/>
          <w:bCs w:val="0"/>
          <w:color w:val="000000"/>
          <w:sz w:val="22"/>
          <w:szCs w:val="22"/>
          <w:lang w:val="id-ID"/>
        </w:rPr>
      </w:pPr>
      <w:r>
        <w:rPr>
          <w:rFonts w:ascii="Tahoma" w:hAnsi="Tahoma" w:cs="Tahoma"/>
          <w:b w:val="0"/>
          <w:bCs w:val="0"/>
          <w:color w:val="000000"/>
          <w:sz w:val="22"/>
          <w:szCs w:val="22"/>
          <w:lang w:val="id-ID"/>
        </w:rPr>
        <w:t>Pengukuran kinerja yang dilakukan berupa pengukuran pencapaian target kinerja kelompok indikator kinerja sasaran st</w:t>
      </w:r>
      <w:r>
        <w:rPr>
          <w:rFonts w:ascii="Tahoma" w:hAnsi="Tahoma" w:cs="Tahoma"/>
          <w:b w:val="0"/>
          <w:bCs w:val="0"/>
          <w:color w:val="000000"/>
          <w:sz w:val="22"/>
          <w:szCs w:val="22"/>
        </w:rPr>
        <w:t>r</w:t>
      </w:r>
      <w:r>
        <w:rPr>
          <w:rFonts w:ascii="Tahoma" w:hAnsi="Tahoma" w:cs="Tahoma"/>
          <w:b w:val="0"/>
          <w:bCs w:val="0"/>
          <w:color w:val="000000"/>
          <w:sz w:val="22"/>
          <w:szCs w:val="22"/>
          <w:lang w:val="id-ID"/>
        </w:rPr>
        <w:t>ategis yang ditetapkan dalam dokumen Penetapan Kinerja Pemerintah Provinsi Sumatera Barat pada tahun 2020. Metode pengukuran kinerja yang digunakan adalah metode pengukuran sederhana dengan membandingkan target kinerja dengan realisasi kinerja pada kelompok indikator kinerja sasaran strategis. Hasil pengukuran pencapaian indikator kinerja dimaksud digunakan untuk menilai keberhasilan dan kegagalan mencapai sasaran strategis dalam rangka mewujudkan visi dan misi Badan Keuangan Daerah.</w:t>
      </w:r>
    </w:p>
    <w:p>
      <w:pPr>
        <w:pStyle w:val="20"/>
        <w:numPr>
          <w:ilvl w:val="0"/>
          <w:numId w:val="0"/>
        </w:numPr>
        <w:spacing w:before="240" w:line="360" w:lineRule="auto"/>
        <w:ind w:left="447" w:hanging="7"/>
        <w:jc w:val="both"/>
        <w:rPr>
          <w:rFonts w:ascii="Tahoma" w:hAnsi="Tahoma" w:cs="Tahoma"/>
          <w:b w:val="0"/>
          <w:bCs w:val="0"/>
          <w:color w:val="000000"/>
          <w:sz w:val="22"/>
          <w:szCs w:val="22"/>
          <w:lang w:val="id-ID"/>
        </w:rPr>
      </w:pPr>
      <w:r>
        <w:rPr>
          <w:rFonts w:ascii="Tahoma" w:hAnsi="Tahoma" w:cs="Tahoma"/>
          <w:b w:val="0"/>
          <w:bCs w:val="0"/>
          <w:color w:val="000000"/>
          <w:sz w:val="22"/>
          <w:szCs w:val="22"/>
          <w:lang w:val="id-ID"/>
        </w:rPr>
        <w:t>Keberhasilan dan kegagalan pencapaian sasaran strategis ditentukan oleh pencapaian kelompok atau indikator kinerja sasaran strategis yang berkenaan. Untuk analisis atau penjelasan keberhasilan dan kegagalan pencapaian sasaran strategis dengan mempedomani target kinerja pada masing masing indikator yang telah ditentukan.</w:t>
      </w:r>
    </w:p>
    <w:p>
      <w:pPr>
        <w:pStyle w:val="20"/>
        <w:numPr>
          <w:ilvl w:val="0"/>
          <w:numId w:val="0"/>
        </w:numPr>
        <w:spacing w:before="240" w:line="360" w:lineRule="auto"/>
        <w:ind w:left="447" w:hanging="7"/>
        <w:jc w:val="both"/>
        <w:rPr>
          <w:rFonts w:ascii="Tahoma" w:hAnsi="Tahoma" w:cs="Tahoma"/>
          <w:b w:val="0"/>
          <w:sz w:val="22"/>
          <w:szCs w:val="22"/>
          <w:lang w:val="id-ID"/>
        </w:rPr>
      </w:pPr>
      <w:r>
        <w:rPr>
          <w:rFonts w:ascii="Tahoma" w:hAnsi="Tahoma" w:cs="Tahoma"/>
          <w:b w:val="0"/>
          <w:bCs w:val="0"/>
          <w:color w:val="000000"/>
          <w:sz w:val="22"/>
          <w:szCs w:val="22"/>
          <w:lang w:val="id-ID"/>
        </w:rPr>
        <w:t xml:space="preserve">Sasaran strategis Badan Keuangan Daerah Provinsi Sumatera Barat tahun 2020 yang terdiri dari </w:t>
      </w:r>
      <w:r>
        <w:rPr>
          <w:rFonts w:ascii="Tahoma" w:hAnsi="Tahoma" w:cs="Tahoma"/>
          <w:b w:val="0"/>
          <w:sz w:val="22"/>
          <w:szCs w:val="22"/>
          <w:lang w:val="id-ID"/>
        </w:rPr>
        <w:t>1) Meningkatnya Kualitas Pengelolaan Keuangan Daerah</w:t>
      </w:r>
      <w:r>
        <w:rPr>
          <w:rFonts w:ascii="Tahoma" w:hAnsi="Tahoma" w:cs="Tahoma"/>
          <w:b w:val="0"/>
          <w:sz w:val="22"/>
          <w:szCs w:val="22"/>
        </w:rPr>
        <w:t>;</w:t>
      </w:r>
      <w:r>
        <w:rPr>
          <w:rFonts w:ascii="Tahoma" w:hAnsi="Tahoma" w:cs="Tahoma"/>
          <w:b w:val="0"/>
          <w:sz w:val="22"/>
          <w:szCs w:val="22"/>
          <w:lang w:val="id-ID"/>
        </w:rPr>
        <w:t xml:space="preserve"> 2) Meningkatnya Kualitas APBD Kabupaten/Kota</w:t>
      </w:r>
      <w:r>
        <w:rPr>
          <w:rFonts w:ascii="Tahoma" w:hAnsi="Tahoma" w:cs="Tahoma"/>
          <w:b w:val="0"/>
          <w:sz w:val="22"/>
          <w:szCs w:val="22"/>
        </w:rPr>
        <w:t>;</w:t>
      </w:r>
      <w:r>
        <w:rPr>
          <w:rFonts w:hint="default" w:ascii="Tahoma" w:hAnsi="Tahoma" w:cs="Tahoma"/>
          <w:b w:val="0"/>
          <w:sz w:val="22"/>
          <w:szCs w:val="22"/>
          <w:lang w:val="en-US"/>
        </w:rPr>
        <w:t xml:space="preserve"> </w:t>
      </w:r>
      <w:r>
        <w:rPr>
          <w:rFonts w:ascii="Tahoma" w:hAnsi="Tahoma" w:cs="Tahoma"/>
          <w:b w:val="0"/>
          <w:bCs w:val="0"/>
          <w:color w:val="000000"/>
          <w:sz w:val="22"/>
          <w:szCs w:val="22"/>
          <w:lang w:val="id-ID"/>
        </w:rPr>
        <w:t xml:space="preserve">3) </w:t>
      </w:r>
      <w:r>
        <w:rPr>
          <w:rFonts w:ascii="Tahoma" w:hAnsi="Tahoma" w:cs="Tahoma"/>
          <w:b w:val="0"/>
          <w:sz w:val="22"/>
          <w:szCs w:val="22"/>
          <w:lang w:val="id-ID"/>
        </w:rPr>
        <w:t>Meningkatnya Pendapatan Asli Daerah 4) Meningkatnya Kualitas Pelayanan Publik</w:t>
      </w:r>
      <w:r>
        <w:rPr>
          <w:rFonts w:ascii="Tahoma" w:hAnsi="Tahoma" w:cs="Tahoma"/>
          <w:b w:val="0"/>
          <w:sz w:val="22"/>
          <w:szCs w:val="22"/>
        </w:rPr>
        <w:t>; dan</w:t>
      </w:r>
      <w:r>
        <w:rPr>
          <w:rFonts w:ascii="Tahoma" w:hAnsi="Tahoma" w:cs="Tahoma"/>
          <w:b w:val="0"/>
          <w:sz w:val="22"/>
          <w:szCs w:val="22"/>
          <w:lang w:val="id-ID"/>
        </w:rPr>
        <w:t xml:space="preserve"> 5) Meningkatnya Tata </w:t>
      </w:r>
      <w:r>
        <w:rPr>
          <w:rFonts w:ascii="Tahoma" w:hAnsi="Tahoma" w:cs="Tahoma"/>
          <w:b w:val="0"/>
          <w:sz w:val="22"/>
          <w:szCs w:val="22"/>
        </w:rPr>
        <w:t>K</w:t>
      </w:r>
      <w:r>
        <w:rPr>
          <w:rFonts w:ascii="Tahoma" w:hAnsi="Tahoma" w:cs="Tahoma"/>
          <w:b w:val="0"/>
          <w:sz w:val="22"/>
          <w:szCs w:val="22"/>
          <w:lang w:val="id-ID"/>
        </w:rPr>
        <w:t>elola Organisasi. Setiap sasaran strategis diukur pencapaian kinerjanya/tingkat keberhasilannya dengan salah satu atau lebih indikator kinerja yang mendukung sasaran strategis tersebut, sedangkan setiap indikator kinerja  pencapaiannya ditentukan oleh satu bagian atau lebih yang melaksanakan program dan kegiatan yang relevan.</w:t>
      </w:r>
    </w:p>
    <w:p>
      <w:pPr>
        <w:pStyle w:val="20"/>
        <w:numPr>
          <w:ilvl w:val="0"/>
          <w:numId w:val="0"/>
        </w:numPr>
        <w:spacing w:before="120" w:line="360" w:lineRule="auto"/>
        <w:ind w:left="447" w:hanging="7"/>
        <w:jc w:val="both"/>
        <w:rPr>
          <w:rFonts w:ascii="Tahoma" w:hAnsi="Tahoma" w:cs="Tahoma"/>
          <w:b w:val="0"/>
          <w:bCs w:val="0"/>
          <w:color w:val="000000"/>
          <w:sz w:val="22"/>
          <w:szCs w:val="22"/>
          <w:lang w:val="id-ID"/>
        </w:rPr>
      </w:pPr>
      <w:r>
        <w:rPr>
          <w:rFonts w:ascii="Tahoma" w:hAnsi="Tahoma" w:cs="Tahoma"/>
          <w:b w:val="0"/>
          <w:bCs w:val="0"/>
          <w:color w:val="000000"/>
          <w:sz w:val="22"/>
          <w:szCs w:val="22"/>
          <w:lang w:val="id-ID"/>
        </w:rPr>
        <w:t xml:space="preserve">Untuk mengukur sejauh apa pelaksanaan program dengan perencanaan yang disesuaikan dengan sasaran yang telah di gambar diatas maka perlu dibandingkan antara perencanaan yang telah ditetapkan dengan realisasi pencapaian sasaran sebagiamana yang telah dituangkan dalam Indikator Kinerja Utama </w:t>
      </w:r>
      <w:r>
        <w:rPr>
          <w:rFonts w:ascii="Tahoma" w:hAnsi="Tahoma" w:cs="Tahoma"/>
          <w:b w:val="0"/>
          <w:bCs w:val="0"/>
          <w:color w:val="000000"/>
          <w:sz w:val="22"/>
          <w:szCs w:val="22"/>
        </w:rPr>
        <w:t>Badan Keuangan Daerah</w:t>
      </w:r>
      <w:r>
        <w:rPr>
          <w:rFonts w:ascii="Tahoma" w:hAnsi="Tahoma" w:cs="Tahoma"/>
          <w:b w:val="0"/>
          <w:bCs w:val="0"/>
          <w:color w:val="000000"/>
          <w:sz w:val="22"/>
          <w:szCs w:val="22"/>
          <w:lang w:val="id-ID"/>
        </w:rPr>
        <w:t xml:space="preserve">.  Hal ini juga akan menggambarkan konsistensi antara perencanaan dan pelaksanaan kinerja program dan kegiatan oleh </w:t>
      </w:r>
      <w:r>
        <w:rPr>
          <w:rFonts w:ascii="Tahoma" w:hAnsi="Tahoma" w:cs="Tahoma"/>
          <w:b w:val="0"/>
          <w:bCs w:val="0"/>
          <w:color w:val="000000"/>
          <w:sz w:val="22"/>
          <w:szCs w:val="22"/>
        </w:rPr>
        <w:t>Badan Keuangan Daerah</w:t>
      </w:r>
      <w:r>
        <w:rPr>
          <w:rFonts w:ascii="Tahoma" w:hAnsi="Tahoma" w:cs="Tahoma"/>
          <w:b w:val="0"/>
          <w:bCs w:val="0"/>
          <w:color w:val="000000"/>
          <w:sz w:val="22"/>
          <w:szCs w:val="22"/>
          <w:lang w:val="id-ID"/>
        </w:rPr>
        <w:t>.</w:t>
      </w:r>
    </w:p>
    <w:p>
      <w:pPr>
        <w:pStyle w:val="20"/>
        <w:numPr>
          <w:ilvl w:val="0"/>
          <w:numId w:val="0"/>
        </w:numPr>
        <w:spacing w:before="120" w:line="360" w:lineRule="auto"/>
        <w:ind w:left="447" w:hanging="7"/>
        <w:jc w:val="both"/>
        <w:rPr>
          <w:rFonts w:ascii="Tahoma" w:hAnsi="Tahoma" w:cs="Tahoma"/>
          <w:b w:val="0"/>
          <w:bCs w:val="0"/>
          <w:color w:val="000000"/>
          <w:sz w:val="22"/>
          <w:szCs w:val="22"/>
          <w:lang w:val="id-ID"/>
        </w:rPr>
      </w:pPr>
      <w:r>
        <w:rPr>
          <w:rFonts w:ascii="Tahoma" w:hAnsi="Tahoma" w:cs="Tahoma"/>
          <w:b w:val="0"/>
          <w:bCs w:val="0"/>
          <w:color w:val="000000"/>
          <w:sz w:val="22"/>
          <w:szCs w:val="22"/>
          <w:lang w:val="id-ID"/>
        </w:rPr>
        <w:t>Tabel 3.</w:t>
      </w:r>
      <w:r>
        <w:rPr>
          <w:rFonts w:ascii="Tahoma" w:hAnsi="Tahoma" w:cs="Tahoma"/>
          <w:b w:val="0"/>
          <w:bCs w:val="0"/>
          <w:color w:val="000000"/>
          <w:sz w:val="22"/>
          <w:szCs w:val="22"/>
        </w:rPr>
        <w:t>2</w:t>
      </w:r>
      <w:r>
        <w:rPr>
          <w:rFonts w:ascii="Tahoma" w:hAnsi="Tahoma" w:cs="Tahoma"/>
          <w:b w:val="0"/>
          <w:bCs w:val="0"/>
          <w:color w:val="000000"/>
          <w:sz w:val="22"/>
          <w:szCs w:val="22"/>
          <w:lang w:val="id-ID"/>
        </w:rPr>
        <w:t xml:space="preserve"> dibawah ini menggambarkan hasil pengukuran kinerja Badan Keuangan Daerah tahun 2020.</w:t>
      </w:r>
    </w:p>
    <w:p>
      <w:pPr>
        <w:pStyle w:val="20"/>
        <w:numPr>
          <w:ilvl w:val="0"/>
          <w:numId w:val="0"/>
        </w:numPr>
        <w:spacing w:before="120" w:line="360" w:lineRule="auto"/>
        <w:ind w:left="567"/>
        <w:rPr>
          <w:rFonts w:ascii="Tahoma" w:hAnsi="Tahoma" w:cs="Tahoma"/>
          <w:bCs w:val="0"/>
          <w:color w:val="000000"/>
          <w:sz w:val="22"/>
          <w:szCs w:val="22"/>
          <w:lang w:val="id-ID"/>
        </w:rPr>
      </w:pPr>
      <w:r>
        <w:rPr>
          <w:rFonts w:ascii="Tahoma" w:hAnsi="Tahoma" w:cs="Tahoma"/>
          <w:bCs w:val="0"/>
          <w:color w:val="000000"/>
          <w:sz w:val="22"/>
          <w:szCs w:val="22"/>
          <w:lang w:val="id-ID"/>
        </w:rPr>
        <w:t>Tabel 3.</w:t>
      </w:r>
      <w:r>
        <w:rPr>
          <w:rFonts w:ascii="Tahoma" w:hAnsi="Tahoma" w:cs="Tahoma"/>
          <w:bCs w:val="0"/>
          <w:color w:val="000000"/>
          <w:sz w:val="22"/>
          <w:szCs w:val="22"/>
        </w:rPr>
        <w:t>2</w:t>
      </w:r>
    </w:p>
    <w:p>
      <w:pPr>
        <w:pStyle w:val="20"/>
        <w:numPr>
          <w:ilvl w:val="0"/>
          <w:numId w:val="0"/>
        </w:numPr>
        <w:ind w:hanging="11"/>
        <w:rPr>
          <w:rFonts w:ascii="Tahoma" w:hAnsi="Tahoma" w:cs="Tahoma"/>
          <w:bCs w:val="0"/>
          <w:color w:val="000000"/>
          <w:sz w:val="22"/>
          <w:szCs w:val="22"/>
          <w:lang w:val="id-ID"/>
        </w:rPr>
      </w:pPr>
      <w:r>
        <w:rPr>
          <w:rFonts w:ascii="Tahoma" w:hAnsi="Tahoma" w:cs="Tahoma"/>
          <w:bCs w:val="0"/>
          <w:color w:val="000000"/>
          <w:sz w:val="22"/>
          <w:szCs w:val="22"/>
          <w:lang w:val="id-ID"/>
        </w:rPr>
        <w:t>Pengukuran Kinerja</w:t>
      </w:r>
    </w:p>
    <w:p>
      <w:pPr>
        <w:pStyle w:val="20"/>
        <w:numPr>
          <w:ilvl w:val="0"/>
          <w:numId w:val="0"/>
        </w:numPr>
        <w:ind w:hanging="11"/>
        <w:rPr>
          <w:rFonts w:ascii="Tahoma" w:hAnsi="Tahoma" w:cs="Tahoma"/>
          <w:bCs w:val="0"/>
          <w:color w:val="000000"/>
          <w:sz w:val="22"/>
          <w:szCs w:val="22"/>
          <w:lang w:val="id-ID"/>
        </w:rPr>
      </w:pPr>
      <w:r>
        <w:rPr>
          <w:rFonts w:ascii="Tahoma" w:hAnsi="Tahoma" w:cs="Tahoma"/>
          <w:bCs w:val="0"/>
          <w:color w:val="000000"/>
          <w:sz w:val="22"/>
          <w:szCs w:val="22"/>
          <w:lang w:val="id-ID"/>
        </w:rPr>
        <w:t>Badan Keuangan Daerah Tahun 2020</w:t>
      </w:r>
    </w:p>
    <w:p>
      <w:pPr>
        <w:pStyle w:val="20"/>
        <w:numPr>
          <w:ilvl w:val="0"/>
          <w:numId w:val="0"/>
        </w:numPr>
        <w:ind w:hanging="11"/>
        <w:rPr>
          <w:rFonts w:ascii="Tahoma" w:hAnsi="Tahoma" w:cs="Tahoma"/>
          <w:bCs w:val="0"/>
          <w:color w:val="000000"/>
          <w:sz w:val="22"/>
          <w:szCs w:val="22"/>
          <w:lang w:val="id-ID"/>
        </w:rPr>
      </w:pPr>
    </w:p>
    <w:tbl>
      <w:tblPr>
        <w:tblStyle w:val="7"/>
        <w:tblW w:w="8786" w:type="dxa"/>
        <w:tblInd w:w="356" w:type="dxa"/>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Layout w:type="fixed"/>
        <w:tblCellMar>
          <w:top w:w="0" w:type="dxa"/>
          <w:left w:w="108" w:type="dxa"/>
          <w:bottom w:w="0" w:type="dxa"/>
          <w:right w:w="108" w:type="dxa"/>
        </w:tblCellMar>
      </w:tblPr>
      <w:tblGrid>
        <w:gridCol w:w="637"/>
        <w:gridCol w:w="1701"/>
        <w:gridCol w:w="2932"/>
        <w:gridCol w:w="1716"/>
        <w:gridCol w:w="1800"/>
      </w:tblGrid>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c>
          <w:tcPr>
            <w:tcW w:w="637" w:type="dxa"/>
            <w:vMerge w:val="restart"/>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r>
              <w:rPr>
                <w:rFonts w:ascii="Tahoma" w:hAnsi="Tahoma" w:cs="Tahoma"/>
                <w:bCs w:val="0"/>
                <w:color w:val="000000"/>
                <w:sz w:val="22"/>
                <w:szCs w:val="22"/>
                <w:lang w:val="id-ID"/>
              </w:rPr>
              <w:t>No</w:t>
            </w:r>
          </w:p>
        </w:tc>
        <w:tc>
          <w:tcPr>
            <w:tcW w:w="1701" w:type="dxa"/>
            <w:vMerge w:val="restart"/>
            <w:shd w:val="clear" w:color="auto" w:fill="C2D69B"/>
            <w:vAlign w:val="center"/>
          </w:tcPr>
          <w:p>
            <w:pPr>
              <w:pStyle w:val="20"/>
              <w:numPr>
                <w:ilvl w:val="0"/>
                <w:numId w:val="0"/>
              </w:numPr>
              <w:rPr>
                <w:rFonts w:ascii="Tahoma" w:hAnsi="Tahoma" w:cs="Tahoma"/>
                <w:bCs w:val="0"/>
                <w:color w:val="000000"/>
                <w:sz w:val="22"/>
                <w:szCs w:val="22"/>
                <w:lang w:val="id-ID"/>
              </w:rPr>
            </w:pPr>
            <w:r>
              <w:rPr>
                <w:rFonts w:ascii="Tahoma" w:hAnsi="Tahoma" w:cs="Tahoma"/>
                <w:bCs w:val="0"/>
                <w:color w:val="000000"/>
                <w:sz w:val="22"/>
                <w:szCs w:val="22"/>
                <w:lang w:val="id-ID"/>
              </w:rPr>
              <w:t>SASARAN</w:t>
            </w:r>
          </w:p>
          <w:p>
            <w:pPr>
              <w:pStyle w:val="20"/>
              <w:numPr>
                <w:ilvl w:val="0"/>
                <w:numId w:val="0"/>
              </w:numPr>
              <w:rPr>
                <w:rFonts w:ascii="Tahoma" w:hAnsi="Tahoma" w:cs="Tahoma"/>
                <w:bCs w:val="0"/>
                <w:color w:val="000000"/>
                <w:sz w:val="22"/>
                <w:szCs w:val="22"/>
                <w:lang w:val="id-ID"/>
              </w:rPr>
            </w:pPr>
            <w:r>
              <w:rPr>
                <w:rFonts w:ascii="Tahoma" w:hAnsi="Tahoma" w:cs="Tahoma"/>
                <w:bCs w:val="0"/>
                <w:color w:val="000000"/>
                <w:sz w:val="22"/>
                <w:szCs w:val="22"/>
                <w:lang w:val="id-ID"/>
              </w:rPr>
              <w:t>STRATEGIS</w:t>
            </w:r>
          </w:p>
        </w:tc>
        <w:tc>
          <w:tcPr>
            <w:tcW w:w="2932" w:type="dxa"/>
            <w:vMerge w:val="restart"/>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r>
              <w:rPr>
                <w:rFonts w:ascii="Tahoma" w:hAnsi="Tahoma" w:cs="Tahoma"/>
                <w:bCs w:val="0"/>
                <w:color w:val="000000"/>
                <w:sz w:val="22"/>
                <w:szCs w:val="22"/>
                <w:lang w:val="id-ID"/>
              </w:rPr>
              <w:t>INDIKATOR KINERJA</w:t>
            </w:r>
          </w:p>
        </w:tc>
        <w:tc>
          <w:tcPr>
            <w:tcW w:w="3516" w:type="dxa"/>
            <w:gridSpan w:val="2"/>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r>
              <w:rPr>
                <w:rFonts w:ascii="Tahoma" w:hAnsi="Tahoma" w:cs="Tahoma"/>
                <w:bCs w:val="0"/>
                <w:color w:val="000000"/>
                <w:sz w:val="22"/>
                <w:szCs w:val="22"/>
                <w:lang w:val="id-ID"/>
              </w:rPr>
              <w:t>PENGUKURAN KINERJA</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c>
          <w:tcPr>
            <w:tcW w:w="637" w:type="dxa"/>
            <w:vMerge w:val="continue"/>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p>
        </w:tc>
        <w:tc>
          <w:tcPr>
            <w:tcW w:w="1701" w:type="dxa"/>
            <w:vMerge w:val="continue"/>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p>
        </w:tc>
        <w:tc>
          <w:tcPr>
            <w:tcW w:w="2932" w:type="dxa"/>
            <w:vMerge w:val="continue"/>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p>
        </w:tc>
        <w:tc>
          <w:tcPr>
            <w:tcW w:w="1716" w:type="dxa"/>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r>
              <w:rPr>
                <w:rFonts w:ascii="Tahoma" w:hAnsi="Tahoma" w:cs="Tahoma"/>
                <w:bCs w:val="0"/>
                <w:color w:val="000000"/>
                <w:sz w:val="22"/>
                <w:szCs w:val="22"/>
                <w:lang w:val="id-ID"/>
              </w:rPr>
              <w:t>TARGET</w:t>
            </w:r>
          </w:p>
        </w:tc>
        <w:tc>
          <w:tcPr>
            <w:tcW w:w="1800" w:type="dxa"/>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r>
              <w:rPr>
                <w:rFonts w:ascii="Tahoma" w:hAnsi="Tahoma" w:cs="Tahoma"/>
                <w:bCs w:val="0"/>
                <w:color w:val="000000"/>
                <w:sz w:val="22"/>
                <w:szCs w:val="22"/>
                <w:lang w:val="id-ID"/>
              </w:rPr>
              <w:t>REALISASI</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c>
          <w:tcPr>
            <w:tcW w:w="637" w:type="dxa"/>
            <w:shd w:val="clear" w:color="auto" w:fill="FFFFFF"/>
          </w:tcPr>
          <w:p>
            <w:pPr>
              <w:pStyle w:val="20"/>
              <w:numPr>
                <w:ilvl w:val="0"/>
                <w:numId w:val="0"/>
              </w:numPr>
              <w:spacing w:before="60" w:after="60"/>
              <w:rPr>
                <w:rFonts w:ascii="Calibri" w:hAnsi="Calibri" w:cs="Book Antiqua"/>
                <w:b w:val="0"/>
                <w:bCs w:val="0"/>
                <w:color w:val="000000"/>
                <w:sz w:val="18"/>
                <w:szCs w:val="18"/>
                <w:lang w:val="id-ID"/>
              </w:rPr>
            </w:pPr>
            <w:r>
              <w:rPr>
                <w:rFonts w:ascii="Calibri" w:hAnsi="Calibri" w:cs="Book Antiqua"/>
                <w:b w:val="0"/>
                <w:bCs w:val="0"/>
                <w:color w:val="000000"/>
                <w:sz w:val="18"/>
                <w:szCs w:val="18"/>
                <w:lang w:val="id-ID"/>
              </w:rPr>
              <w:t>1</w:t>
            </w:r>
          </w:p>
        </w:tc>
        <w:tc>
          <w:tcPr>
            <w:tcW w:w="1701" w:type="dxa"/>
            <w:shd w:val="clear" w:color="auto" w:fill="FFFFFF"/>
          </w:tcPr>
          <w:p>
            <w:pPr>
              <w:pStyle w:val="20"/>
              <w:numPr>
                <w:ilvl w:val="0"/>
                <w:numId w:val="0"/>
              </w:numPr>
              <w:spacing w:before="60" w:after="60"/>
              <w:ind w:left="175"/>
              <w:jc w:val="left"/>
              <w:rPr>
                <w:rFonts w:ascii="Tahoma" w:hAnsi="Tahoma" w:cs="Tahoma"/>
                <w:b w:val="0"/>
                <w:bCs w:val="0"/>
                <w:color w:val="000000"/>
                <w:sz w:val="18"/>
                <w:szCs w:val="18"/>
                <w:lang w:val="id-ID"/>
              </w:rPr>
            </w:pPr>
            <w:r>
              <w:rPr>
                <w:rFonts w:ascii="Tahoma" w:hAnsi="Tahoma" w:cs="Tahoma"/>
                <w:b w:val="0"/>
                <w:bCs w:val="0"/>
                <w:color w:val="000000"/>
                <w:sz w:val="18"/>
                <w:szCs w:val="18"/>
                <w:lang w:val="id-ID"/>
              </w:rPr>
              <w:t>Meningkatnya Kualitas Pengelolaan Keuangan Daerah</w:t>
            </w:r>
          </w:p>
        </w:tc>
        <w:tc>
          <w:tcPr>
            <w:tcW w:w="2932" w:type="dxa"/>
            <w:shd w:val="clear" w:color="auto" w:fill="FFFFFF"/>
          </w:tcPr>
          <w:p>
            <w:pPr>
              <w:pStyle w:val="20"/>
              <w:numPr>
                <w:ilvl w:val="0"/>
                <w:numId w:val="0"/>
              </w:numPr>
              <w:tabs>
                <w:tab w:val="left" w:pos="175"/>
              </w:tabs>
              <w:spacing w:before="60" w:after="60"/>
              <w:ind w:left="175" w:hanging="142"/>
              <w:jc w:val="left"/>
              <w:rPr>
                <w:rFonts w:ascii="Tahoma" w:hAnsi="Tahoma" w:cs="Tahoma"/>
                <w:b w:val="0"/>
                <w:bCs w:val="0"/>
                <w:color w:val="000000"/>
                <w:sz w:val="18"/>
                <w:szCs w:val="18"/>
                <w:lang w:val="id-ID"/>
              </w:rPr>
            </w:pPr>
            <w:r>
              <w:rPr>
                <w:rFonts w:ascii="Tahoma" w:hAnsi="Tahoma" w:cs="Tahoma"/>
                <w:b w:val="0"/>
                <w:bCs w:val="0"/>
                <w:color w:val="000000"/>
                <w:sz w:val="18"/>
                <w:szCs w:val="18"/>
                <w:lang w:val="id-ID"/>
              </w:rPr>
              <w:t>- Opini BPK</w:t>
            </w:r>
          </w:p>
        </w:tc>
        <w:tc>
          <w:tcPr>
            <w:tcW w:w="1716"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WTP</w:t>
            </w:r>
          </w:p>
        </w:tc>
        <w:tc>
          <w:tcPr>
            <w:tcW w:w="1800"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WTP</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c>
          <w:tcPr>
            <w:tcW w:w="637" w:type="dxa"/>
            <w:shd w:val="clear" w:color="auto" w:fill="FFFFFF"/>
          </w:tcPr>
          <w:p>
            <w:pPr>
              <w:pStyle w:val="20"/>
              <w:numPr>
                <w:ilvl w:val="0"/>
                <w:numId w:val="0"/>
              </w:numPr>
              <w:spacing w:before="60" w:after="60"/>
              <w:rPr>
                <w:rFonts w:ascii="Calibri" w:hAnsi="Calibri" w:cs="Book Antiqua"/>
                <w:b w:val="0"/>
                <w:bCs w:val="0"/>
                <w:color w:val="000000"/>
                <w:sz w:val="18"/>
                <w:szCs w:val="18"/>
                <w:lang w:val="id-ID"/>
              </w:rPr>
            </w:pPr>
            <w:r>
              <w:rPr>
                <w:rFonts w:ascii="Calibri" w:hAnsi="Calibri" w:cs="Book Antiqua"/>
                <w:b w:val="0"/>
                <w:bCs w:val="0"/>
                <w:color w:val="000000"/>
                <w:sz w:val="18"/>
                <w:szCs w:val="18"/>
                <w:lang w:val="id-ID"/>
              </w:rPr>
              <w:t>2</w:t>
            </w:r>
          </w:p>
        </w:tc>
        <w:tc>
          <w:tcPr>
            <w:tcW w:w="1701" w:type="dxa"/>
            <w:shd w:val="clear" w:color="auto" w:fill="FFFFFF"/>
          </w:tcPr>
          <w:p>
            <w:pPr>
              <w:pStyle w:val="20"/>
              <w:numPr>
                <w:ilvl w:val="0"/>
                <w:numId w:val="0"/>
              </w:numPr>
              <w:spacing w:before="60" w:after="60"/>
              <w:ind w:left="175"/>
              <w:jc w:val="left"/>
              <w:rPr>
                <w:rFonts w:ascii="Tahoma" w:hAnsi="Tahoma" w:cs="Tahoma"/>
                <w:b w:val="0"/>
                <w:bCs w:val="0"/>
                <w:color w:val="000000"/>
                <w:sz w:val="18"/>
                <w:szCs w:val="18"/>
                <w:lang w:val="id-ID"/>
              </w:rPr>
            </w:pPr>
            <w:r>
              <w:rPr>
                <w:rFonts w:ascii="Tahoma" w:hAnsi="Tahoma" w:cs="Tahoma"/>
                <w:b w:val="0"/>
                <w:bCs w:val="0"/>
                <w:color w:val="000000"/>
                <w:sz w:val="18"/>
                <w:szCs w:val="18"/>
                <w:lang w:val="id-ID"/>
              </w:rPr>
              <w:t>Meningkatnya Kualitas APBD Kabupaten/Kota</w:t>
            </w:r>
          </w:p>
        </w:tc>
        <w:tc>
          <w:tcPr>
            <w:tcW w:w="2932" w:type="dxa"/>
            <w:shd w:val="clear" w:color="auto" w:fill="FFFFFF"/>
          </w:tcPr>
          <w:p>
            <w:pPr>
              <w:pStyle w:val="20"/>
              <w:numPr>
                <w:ilvl w:val="0"/>
                <w:numId w:val="0"/>
              </w:numPr>
              <w:spacing w:before="60" w:after="60"/>
              <w:ind w:left="176" w:leftChars="-2" w:hanging="180" w:hangingChars="100"/>
              <w:jc w:val="left"/>
              <w:rPr>
                <w:rFonts w:ascii="Tahoma" w:hAnsi="Tahoma" w:cs="Tahoma"/>
                <w:b w:val="0"/>
                <w:bCs w:val="0"/>
                <w:color w:val="000000"/>
                <w:sz w:val="18"/>
                <w:szCs w:val="18"/>
                <w:lang w:val="id-ID"/>
              </w:rPr>
            </w:pPr>
            <w:r>
              <w:rPr>
                <w:rFonts w:ascii="Tahoma" w:hAnsi="Tahoma" w:cs="Tahoma"/>
                <w:b w:val="0"/>
                <w:bCs w:val="0"/>
                <w:color w:val="000000"/>
                <w:sz w:val="18"/>
                <w:szCs w:val="18"/>
              </w:rPr>
              <w:t xml:space="preserve">-  </w:t>
            </w:r>
            <w:r>
              <w:rPr>
                <w:rFonts w:ascii="Tahoma" w:hAnsi="Tahoma" w:cs="Tahoma"/>
                <w:b w:val="0"/>
                <w:bCs w:val="0"/>
                <w:color w:val="000000"/>
                <w:sz w:val="18"/>
                <w:szCs w:val="18"/>
                <w:lang w:val="id-ID"/>
              </w:rPr>
              <w:t>Persentase Kab</w:t>
            </w:r>
            <w:r>
              <w:rPr>
                <w:rFonts w:ascii="Tahoma" w:hAnsi="Tahoma" w:cs="Tahoma"/>
                <w:b w:val="0"/>
                <w:bCs w:val="0"/>
                <w:color w:val="000000"/>
                <w:sz w:val="18"/>
                <w:szCs w:val="18"/>
              </w:rPr>
              <w:t>upaten</w:t>
            </w:r>
            <w:r>
              <w:rPr>
                <w:rFonts w:ascii="Tahoma" w:hAnsi="Tahoma" w:cs="Tahoma"/>
                <w:b w:val="0"/>
                <w:bCs w:val="0"/>
                <w:color w:val="000000"/>
                <w:sz w:val="18"/>
                <w:szCs w:val="18"/>
                <w:lang w:val="id-ID"/>
              </w:rPr>
              <w:t>/Kota dengan Opini WTP</w:t>
            </w:r>
          </w:p>
        </w:tc>
        <w:tc>
          <w:tcPr>
            <w:tcW w:w="1716"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100</w:t>
            </w:r>
          </w:p>
        </w:tc>
        <w:tc>
          <w:tcPr>
            <w:tcW w:w="1800"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100</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c>
          <w:tcPr>
            <w:tcW w:w="637" w:type="dxa"/>
            <w:shd w:val="clear" w:color="auto" w:fill="FFFFFF"/>
          </w:tcPr>
          <w:p>
            <w:pPr>
              <w:pStyle w:val="20"/>
              <w:numPr>
                <w:ilvl w:val="0"/>
                <w:numId w:val="0"/>
              </w:numPr>
              <w:spacing w:before="60" w:after="60"/>
              <w:rPr>
                <w:rFonts w:ascii="Calibri" w:hAnsi="Calibri" w:cs="Book Antiqua"/>
                <w:b w:val="0"/>
                <w:bCs w:val="0"/>
                <w:color w:val="000000"/>
                <w:sz w:val="18"/>
                <w:szCs w:val="18"/>
                <w:lang w:val="id-ID"/>
              </w:rPr>
            </w:pPr>
            <w:r>
              <w:rPr>
                <w:rFonts w:ascii="Calibri" w:hAnsi="Calibri" w:cs="Book Antiqua"/>
                <w:b w:val="0"/>
                <w:bCs w:val="0"/>
                <w:color w:val="000000"/>
                <w:sz w:val="18"/>
                <w:szCs w:val="18"/>
                <w:lang w:val="id-ID"/>
              </w:rPr>
              <w:t>3</w:t>
            </w:r>
          </w:p>
        </w:tc>
        <w:tc>
          <w:tcPr>
            <w:tcW w:w="1701" w:type="dxa"/>
            <w:shd w:val="clear" w:color="auto" w:fill="FFFFFF"/>
          </w:tcPr>
          <w:p>
            <w:pPr>
              <w:pStyle w:val="20"/>
              <w:numPr>
                <w:ilvl w:val="0"/>
                <w:numId w:val="0"/>
              </w:numPr>
              <w:spacing w:before="60" w:after="60"/>
              <w:ind w:left="175"/>
              <w:jc w:val="left"/>
              <w:rPr>
                <w:rFonts w:ascii="Tahoma" w:hAnsi="Tahoma" w:cs="Tahoma"/>
                <w:b w:val="0"/>
                <w:bCs w:val="0"/>
                <w:color w:val="000000"/>
                <w:sz w:val="18"/>
                <w:szCs w:val="18"/>
                <w:lang w:val="id-ID"/>
              </w:rPr>
            </w:pPr>
            <w:r>
              <w:rPr>
                <w:rFonts w:ascii="Tahoma" w:hAnsi="Tahoma" w:cs="Tahoma"/>
                <w:b w:val="0"/>
                <w:bCs w:val="0"/>
                <w:color w:val="000000"/>
                <w:sz w:val="18"/>
                <w:szCs w:val="18"/>
                <w:lang w:val="id-ID"/>
              </w:rPr>
              <w:t>Meningkatnya Pendapatan Asli Daerah</w:t>
            </w:r>
          </w:p>
        </w:tc>
        <w:tc>
          <w:tcPr>
            <w:tcW w:w="2932" w:type="dxa"/>
            <w:shd w:val="clear" w:color="auto" w:fill="FFFFFF"/>
          </w:tcPr>
          <w:p>
            <w:pPr>
              <w:pStyle w:val="20"/>
              <w:numPr>
                <w:ilvl w:val="0"/>
                <w:numId w:val="0"/>
              </w:numPr>
              <w:spacing w:before="60" w:after="60"/>
              <w:ind w:left="180" w:hanging="180" w:hangingChars="100"/>
              <w:jc w:val="left"/>
              <w:rPr>
                <w:rFonts w:ascii="Tahoma" w:hAnsi="Tahoma" w:cs="Tahoma"/>
                <w:b w:val="0"/>
                <w:bCs w:val="0"/>
                <w:color w:val="000000"/>
                <w:sz w:val="18"/>
                <w:szCs w:val="18"/>
                <w:lang w:val="id-ID"/>
              </w:rPr>
            </w:pPr>
            <w:r>
              <w:rPr>
                <w:rFonts w:ascii="Tahoma" w:hAnsi="Tahoma" w:cs="Tahoma"/>
                <w:b w:val="0"/>
                <w:bCs w:val="0"/>
                <w:color w:val="000000"/>
                <w:sz w:val="18"/>
                <w:szCs w:val="18"/>
              </w:rPr>
              <w:t xml:space="preserve">-  </w:t>
            </w:r>
            <w:r>
              <w:rPr>
                <w:rFonts w:ascii="Tahoma" w:hAnsi="Tahoma" w:cs="Tahoma"/>
                <w:b w:val="0"/>
                <w:bCs w:val="0"/>
                <w:color w:val="000000"/>
                <w:sz w:val="18"/>
                <w:szCs w:val="18"/>
                <w:lang w:val="id-ID"/>
              </w:rPr>
              <w:t>Persentase Peningkatan</w:t>
            </w:r>
            <w:r>
              <w:rPr>
                <w:rFonts w:hint="default" w:ascii="Tahoma" w:hAnsi="Tahoma" w:cs="Tahoma"/>
                <w:b w:val="0"/>
                <w:bCs w:val="0"/>
                <w:color w:val="000000"/>
                <w:sz w:val="18"/>
                <w:szCs w:val="18"/>
                <w:lang w:val="en-US"/>
              </w:rPr>
              <w:t xml:space="preserve"> </w:t>
            </w:r>
            <w:r>
              <w:rPr>
                <w:rFonts w:ascii="Tahoma" w:hAnsi="Tahoma" w:cs="Tahoma"/>
                <w:b w:val="0"/>
                <w:bCs w:val="0"/>
                <w:color w:val="000000"/>
                <w:sz w:val="18"/>
                <w:szCs w:val="18"/>
                <w:lang w:val="id-ID"/>
              </w:rPr>
              <w:t>Pendapatan Asli Daerah</w:t>
            </w:r>
          </w:p>
        </w:tc>
        <w:tc>
          <w:tcPr>
            <w:tcW w:w="1716"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-8,14</w:t>
            </w:r>
          </w:p>
        </w:tc>
        <w:tc>
          <w:tcPr>
            <w:tcW w:w="1800" w:type="dxa"/>
            <w:shd w:val="clear" w:color="auto" w:fill="FFFFFF"/>
          </w:tcPr>
          <w:p>
            <w:pPr>
              <w:pStyle w:val="20"/>
              <w:numPr>
                <w:ilvl w:val="0"/>
                <w:numId w:val="0"/>
              </w:numPr>
              <w:spacing w:before="60" w:after="60"/>
              <w:rPr>
                <w:rFonts w:ascii="Tahoma" w:hAnsi="Tahoma" w:cs="Tahoma"/>
                <w:b w:val="0"/>
                <w:bCs w:val="0"/>
                <w:color w:val="000000"/>
                <w:sz w:val="18"/>
                <w:szCs w:val="18"/>
              </w:rPr>
            </w:pPr>
            <w:r>
              <w:rPr>
                <w:rFonts w:ascii="Tahoma" w:hAnsi="Tahoma" w:cs="Tahoma"/>
                <w:b w:val="0"/>
                <w:bCs w:val="0"/>
                <w:color w:val="000000"/>
                <w:sz w:val="18"/>
                <w:szCs w:val="18"/>
                <w:lang w:val="id-ID"/>
              </w:rPr>
              <w:t>-</w:t>
            </w:r>
            <w:r>
              <w:rPr>
                <w:rFonts w:ascii="Tahoma" w:hAnsi="Tahoma" w:cs="Tahoma"/>
                <w:b w:val="0"/>
                <w:bCs w:val="0"/>
                <w:color w:val="000000"/>
                <w:sz w:val="18"/>
                <w:szCs w:val="18"/>
              </w:rPr>
              <w:t>3,31</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c>
          <w:tcPr>
            <w:tcW w:w="637" w:type="dxa"/>
            <w:shd w:val="clear" w:color="auto" w:fill="FFFFFF"/>
          </w:tcPr>
          <w:p>
            <w:pPr>
              <w:pStyle w:val="20"/>
              <w:numPr>
                <w:ilvl w:val="0"/>
                <w:numId w:val="0"/>
              </w:numPr>
              <w:spacing w:before="60" w:after="60"/>
              <w:rPr>
                <w:rFonts w:ascii="Calibri" w:hAnsi="Calibri" w:cs="Book Antiqua"/>
                <w:b w:val="0"/>
                <w:bCs w:val="0"/>
                <w:color w:val="000000"/>
                <w:sz w:val="18"/>
                <w:szCs w:val="18"/>
                <w:lang w:val="id-ID"/>
              </w:rPr>
            </w:pPr>
            <w:r>
              <w:rPr>
                <w:rFonts w:ascii="Calibri" w:hAnsi="Calibri" w:cs="Book Antiqua"/>
                <w:b w:val="0"/>
                <w:bCs w:val="0"/>
                <w:color w:val="000000"/>
                <w:sz w:val="18"/>
                <w:szCs w:val="18"/>
                <w:lang w:val="id-ID"/>
              </w:rPr>
              <w:t>4</w:t>
            </w:r>
          </w:p>
        </w:tc>
        <w:tc>
          <w:tcPr>
            <w:tcW w:w="1701" w:type="dxa"/>
            <w:shd w:val="clear" w:color="auto" w:fill="FFFFFF"/>
          </w:tcPr>
          <w:p>
            <w:pPr>
              <w:pStyle w:val="20"/>
              <w:numPr>
                <w:ilvl w:val="0"/>
                <w:numId w:val="0"/>
              </w:numPr>
              <w:spacing w:before="60" w:after="60"/>
              <w:ind w:left="175"/>
              <w:jc w:val="left"/>
              <w:rPr>
                <w:rFonts w:ascii="Tahoma" w:hAnsi="Tahoma" w:cs="Tahoma"/>
                <w:b w:val="0"/>
                <w:bCs w:val="0"/>
                <w:color w:val="000000"/>
                <w:sz w:val="18"/>
                <w:szCs w:val="18"/>
                <w:lang w:val="id-ID"/>
              </w:rPr>
            </w:pPr>
            <w:r>
              <w:rPr>
                <w:rFonts w:ascii="Tahoma" w:hAnsi="Tahoma" w:cs="Tahoma"/>
                <w:b w:val="0"/>
                <w:bCs w:val="0"/>
                <w:color w:val="000000"/>
                <w:sz w:val="18"/>
                <w:szCs w:val="18"/>
                <w:lang w:val="id-ID"/>
              </w:rPr>
              <w:t>Meningkatnya Kualitas Pelayanan Publik</w:t>
            </w:r>
          </w:p>
        </w:tc>
        <w:tc>
          <w:tcPr>
            <w:tcW w:w="2932" w:type="dxa"/>
            <w:shd w:val="clear" w:color="auto" w:fill="FFFFFF"/>
          </w:tcPr>
          <w:p>
            <w:pPr>
              <w:pStyle w:val="20"/>
              <w:numPr>
                <w:ilvl w:val="0"/>
                <w:numId w:val="0"/>
              </w:numPr>
              <w:spacing w:before="60" w:after="60"/>
              <w:ind w:left="176" w:leftChars="-2" w:hanging="180" w:hangingChars="100"/>
              <w:jc w:val="left"/>
              <w:rPr>
                <w:rFonts w:ascii="Tahoma" w:hAnsi="Tahoma" w:cs="Tahoma"/>
                <w:b w:val="0"/>
                <w:bCs w:val="0"/>
                <w:color w:val="000000"/>
                <w:sz w:val="18"/>
                <w:szCs w:val="18"/>
                <w:lang w:val="id-ID"/>
              </w:rPr>
            </w:pPr>
            <w:r>
              <w:rPr>
                <w:rFonts w:ascii="Tahoma" w:hAnsi="Tahoma" w:cs="Tahoma"/>
                <w:b w:val="0"/>
                <w:bCs w:val="0"/>
                <w:color w:val="000000"/>
                <w:sz w:val="18"/>
                <w:szCs w:val="18"/>
              </w:rPr>
              <w:t xml:space="preserve">-  </w:t>
            </w:r>
            <w:r>
              <w:rPr>
                <w:rFonts w:ascii="Tahoma" w:hAnsi="Tahoma" w:cs="Tahoma"/>
                <w:b w:val="0"/>
                <w:bCs w:val="0"/>
                <w:color w:val="000000"/>
                <w:sz w:val="18"/>
                <w:szCs w:val="18"/>
                <w:lang w:val="id-ID"/>
              </w:rPr>
              <w:t>Indeks Kepuasan Masyarakat</w:t>
            </w:r>
          </w:p>
        </w:tc>
        <w:tc>
          <w:tcPr>
            <w:tcW w:w="1716"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Baik</w:t>
            </w:r>
          </w:p>
        </w:tc>
        <w:tc>
          <w:tcPr>
            <w:tcW w:w="1800"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Baik</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c>
          <w:tcPr>
            <w:tcW w:w="637" w:type="dxa"/>
            <w:shd w:val="clear" w:color="auto" w:fill="FFFFFF"/>
          </w:tcPr>
          <w:p>
            <w:pPr>
              <w:pStyle w:val="20"/>
              <w:numPr>
                <w:ilvl w:val="0"/>
                <w:numId w:val="0"/>
              </w:numPr>
              <w:spacing w:before="60" w:after="60"/>
              <w:rPr>
                <w:rFonts w:ascii="Calibri" w:hAnsi="Calibri" w:cs="Book Antiqua"/>
                <w:b w:val="0"/>
                <w:bCs w:val="0"/>
                <w:color w:val="000000"/>
                <w:sz w:val="18"/>
                <w:szCs w:val="18"/>
                <w:lang w:val="id-ID"/>
              </w:rPr>
            </w:pPr>
            <w:r>
              <w:rPr>
                <w:rFonts w:ascii="Calibri" w:hAnsi="Calibri" w:cs="Book Antiqua"/>
                <w:b w:val="0"/>
                <w:bCs w:val="0"/>
                <w:color w:val="000000"/>
                <w:sz w:val="18"/>
                <w:szCs w:val="18"/>
                <w:lang w:val="id-ID"/>
              </w:rPr>
              <w:t>5</w:t>
            </w:r>
          </w:p>
        </w:tc>
        <w:tc>
          <w:tcPr>
            <w:tcW w:w="1701" w:type="dxa"/>
            <w:shd w:val="clear" w:color="auto" w:fill="FFFFFF"/>
          </w:tcPr>
          <w:p>
            <w:pPr>
              <w:pStyle w:val="20"/>
              <w:numPr>
                <w:ilvl w:val="0"/>
                <w:numId w:val="0"/>
              </w:numPr>
              <w:spacing w:before="60" w:after="60"/>
              <w:ind w:left="175"/>
              <w:jc w:val="left"/>
              <w:rPr>
                <w:rFonts w:ascii="Tahoma" w:hAnsi="Tahoma" w:cs="Tahoma"/>
                <w:b w:val="0"/>
                <w:bCs w:val="0"/>
                <w:color w:val="000000"/>
                <w:sz w:val="18"/>
                <w:szCs w:val="18"/>
                <w:lang w:val="id-ID"/>
              </w:rPr>
            </w:pPr>
            <w:r>
              <w:rPr>
                <w:rFonts w:hint="default" w:ascii="Tahoma" w:hAnsi="Tahoma" w:cs="Tahoma"/>
                <w:b w:val="0"/>
                <w:bCs w:val="0"/>
                <w:color w:val="000000"/>
                <w:sz w:val="18"/>
                <w:szCs w:val="18"/>
                <w:lang w:val="en-US"/>
              </w:rPr>
              <w:t>Meningkatnya Tata Kelola Organisasi</w:t>
            </w:r>
          </w:p>
        </w:tc>
        <w:tc>
          <w:tcPr>
            <w:tcW w:w="2932" w:type="dxa"/>
            <w:shd w:val="clear" w:color="auto" w:fill="FFFFFF"/>
          </w:tcPr>
          <w:p>
            <w:pPr>
              <w:pStyle w:val="20"/>
              <w:numPr>
                <w:ilvl w:val="0"/>
                <w:numId w:val="0"/>
              </w:numPr>
              <w:spacing w:before="60" w:after="60"/>
              <w:ind w:left="176" w:leftChars="-2" w:hanging="180" w:hangingChars="100"/>
              <w:jc w:val="left"/>
              <w:rPr>
                <w:rFonts w:ascii="Tahoma" w:hAnsi="Tahoma" w:cs="Tahoma"/>
                <w:b w:val="0"/>
                <w:bCs w:val="0"/>
                <w:color w:val="000000"/>
                <w:sz w:val="18"/>
                <w:szCs w:val="18"/>
                <w:lang w:val="id-ID"/>
              </w:rPr>
            </w:pPr>
            <w:r>
              <w:rPr>
                <w:rFonts w:ascii="Tahoma" w:hAnsi="Tahoma" w:cs="Tahoma"/>
                <w:b w:val="0"/>
                <w:bCs w:val="0"/>
                <w:color w:val="000000"/>
                <w:sz w:val="18"/>
                <w:szCs w:val="18"/>
              </w:rPr>
              <w:t xml:space="preserve">-  </w:t>
            </w:r>
            <w:r>
              <w:rPr>
                <w:rFonts w:ascii="Tahoma" w:hAnsi="Tahoma" w:cs="Tahoma"/>
                <w:b w:val="0"/>
                <w:bCs w:val="0"/>
                <w:color w:val="000000"/>
                <w:sz w:val="18"/>
                <w:szCs w:val="18"/>
                <w:lang w:val="id-ID"/>
              </w:rPr>
              <w:t>Nilai Evaluasi Akuntabilitas Kinerja</w:t>
            </w:r>
          </w:p>
        </w:tc>
        <w:tc>
          <w:tcPr>
            <w:tcW w:w="1716"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A</w:t>
            </w:r>
          </w:p>
        </w:tc>
        <w:tc>
          <w:tcPr>
            <w:tcW w:w="1800"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A</w:t>
            </w:r>
          </w:p>
        </w:tc>
      </w:tr>
    </w:tbl>
    <w:p>
      <w:pPr>
        <w:pStyle w:val="20"/>
        <w:numPr>
          <w:ilvl w:val="0"/>
          <w:numId w:val="0"/>
        </w:numPr>
        <w:spacing w:before="120" w:line="360" w:lineRule="auto"/>
        <w:ind w:left="447" w:hanging="7"/>
        <w:jc w:val="both"/>
        <w:rPr>
          <w:rFonts w:ascii="Tahoma" w:hAnsi="Tahoma" w:cs="Tahoma"/>
          <w:b w:val="0"/>
          <w:bCs w:val="0"/>
          <w:color w:val="000000"/>
          <w:sz w:val="22"/>
          <w:szCs w:val="22"/>
          <w:lang w:val="id-ID"/>
        </w:rPr>
      </w:pPr>
    </w:p>
    <w:p>
      <w:pPr>
        <w:pStyle w:val="20"/>
        <w:numPr>
          <w:ilvl w:val="0"/>
          <w:numId w:val="25"/>
        </w:numPr>
        <w:tabs>
          <w:tab w:val="clear" w:pos="1080"/>
        </w:tabs>
        <w:spacing w:before="120" w:afterLines="50" w:line="360" w:lineRule="auto"/>
        <w:ind w:left="442" w:hanging="442"/>
        <w:jc w:val="left"/>
        <w:rPr>
          <w:rFonts w:ascii="Tahoma" w:hAnsi="Tahoma" w:cs="Tahoma"/>
          <w:bCs w:val="0"/>
          <w:color w:val="000000"/>
          <w:sz w:val="28"/>
          <w:szCs w:val="28"/>
        </w:rPr>
      </w:pPr>
      <w:r>
        <w:rPr>
          <w:rFonts w:ascii="Tahoma" w:hAnsi="Tahoma" w:cs="Tahoma"/>
          <w:bCs w:val="0"/>
          <w:color w:val="000000"/>
          <w:sz w:val="28"/>
          <w:szCs w:val="28"/>
        </w:rPr>
        <w:t>CAPAIAN KINERJA</w:t>
      </w:r>
    </w:p>
    <w:p>
      <w:pPr>
        <w:pStyle w:val="20"/>
        <w:numPr>
          <w:ilvl w:val="0"/>
          <w:numId w:val="0"/>
        </w:numPr>
        <w:tabs>
          <w:tab w:val="clear" w:pos="1080"/>
        </w:tabs>
        <w:spacing w:line="360" w:lineRule="auto"/>
        <w:ind w:left="440" w:leftChars="200"/>
        <w:jc w:val="left"/>
        <w:rPr>
          <w:rFonts w:ascii="Tahoma" w:hAnsi="Tahoma" w:cs="Tahoma"/>
          <w:b w:val="0"/>
          <w:bCs w:val="0"/>
          <w:color w:val="000000"/>
          <w:sz w:val="22"/>
          <w:szCs w:val="22"/>
          <w:lang w:val="id-ID"/>
        </w:rPr>
      </w:pPr>
      <w:r>
        <w:rPr>
          <w:rFonts w:ascii="Tahoma" w:hAnsi="Tahoma" w:cs="Tahoma"/>
          <w:b w:val="0"/>
          <w:bCs w:val="0"/>
          <w:color w:val="000000"/>
          <w:sz w:val="22"/>
          <w:szCs w:val="22"/>
          <w:lang w:val="id-ID"/>
        </w:rPr>
        <w:t>Gambaran capaian kinerja Badan Keuangan Daerah tahun 20</w:t>
      </w:r>
      <w:r>
        <w:rPr>
          <w:rFonts w:hint="default" w:ascii="Tahoma" w:hAnsi="Tahoma" w:cs="Tahoma"/>
          <w:b w:val="0"/>
          <w:bCs w:val="0"/>
          <w:color w:val="000000"/>
          <w:sz w:val="22"/>
          <w:szCs w:val="22"/>
          <w:lang w:val="en-US"/>
        </w:rPr>
        <w:t>20</w:t>
      </w:r>
      <w:r>
        <w:rPr>
          <w:rFonts w:ascii="Tahoma" w:hAnsi="Tahoma" w:cs="Tahoma"/>
          <w:b w:val="0"/>
          <w:bCs w:val="0"/>
          <w:color w:val="000000"/>
          <w:sz w:val="22"/>
          <w:szCs w:val="22"/>
          <w:lang w:val="id-ID"/>
        </w:rPr>
        <w:t xml:space="preserve"> dapat dilihat pada tabel dibawah ini.</w:t>
      </w:r>
    </w:p>
    <w:p>
      <w:pPr>
        <w:pStyle w:val="20"/>
        <w:numPr>
          <w:ilvl w:val="0"/>
          <w:numId w:val="0"/>
        </w:numPr>
        <w:spacing w:line="360" w:lineRule="auto"/>
        <w:ind w:left="567"/>
        <w:rPr>
          <w:rFonts w:ascii="Tahoma" w:hAnsi="Tahoma" w:cs="Tahoma"/>
          <w:bCs w:val="0"/>
          <w:color w:val="000000"/>
          <w:sz w:val="22"/>
          <w:szCs w:val="22"/>
          <w:lang w:val="id-ID"/>
        </w:rPr>
      </w:pPr>
      <w:r>
        <w:rPr>
          <w:rFonts w:ascii="Tahoma" w:hAnsi="Tahoma" w:cs="Tahoma"/>
          <w:bCs w:val="0"/>
          <w:color w:val="000000"/>
          <w:sz w:val="22"/>
          <w:szCs w:val="22"/>
          <w:lang w:val="id-ID"/>
        </w:rPr>
        <w:t>Tabel 3.</w:t>
      </w:r>
      <w:r>
        <w:rPr>
          <w:rFonts w:ascii="Tahoma" w:hAnsi="Tahoma" w:cs="Tahoma"/>
          <w:bCs w:val="0"/>
          <w:color w:val="000000"/>
          <w:sz w:val="22"/>
          <w:szCs w:val="22"/>
        </w:rPr>
        <w:t>3</w:t>
      </w:r>
    </w:p>
    <w:p>
      <w:pPr>
        <w:pStyle w:val="20"/>
        <w:numPr>
          <w:ilvl w:val="0"/>
          <w:numId w:val="0"/>
        </w:numPr>
        <w:ind w:hanging="11"/>
        <w:rPr>
          <w:rFonts w:ascii="Tahoma" w:hAnsi="Tahoma" w:cs="Tahoma"/>
          <w:bCs w:val="0"/>
          <w:color w:val="000000"/>
          <w:sz w:val="22"/>
          <w:szCs w:val="22"/>
          <w:lang w:val="id-ID"/>
        </w:rPr>
      </w:pPr>
      <w:r>
        <w:rPr>
          <w:rFonts w:ascii="Tahoma" w:hAnsi="Tahoma" w:cs="Tahoma"/>
          <w:bCs w:val="0"/>
          <w:color w:val="000000"/>
          <w:sz w:val="22"/>
          <w:szCs w:val="22"/>
        </w:rPr>
        <w:t>Capaian</w:t>
      </w:r>
      <w:r>
        <w:rPr>
          <w:rFonts w:ascii="Tahoma" w:hAnsi="Tahoma" w:cs="Tahoma"/>
          <w:bCs w:val="0"/>
          <w:color w:val="000000"/>
          <w:sz w:val="22"/>
          <w:szCs w:val="22"/>
          <w:lang w:val="id-ID"/>
        </w:rPr>
        <w:t xml:space="preserve"> Kinerja</w:t>
      </w:r>
    </w:p>
    <w:p>
      <w:pPr>
        <w:pStyle w:val="20"/>
        <w:numPr>
          <w:ilvl w:val="0"/>
          <w:numId w:val="0"/>
        </w:numPr>
        <w:ind w:hanging="11"/>
        <w:rPr>
          <w:rFonts w:ascii="Tahoma" w:hAnsi="Tahoma" w:cs="Tahoma"/>
          <w:bCs w:val="0"/>
          <w:color w:val="000000"/>
          <w:sz w:val="22"/>
          <w:szCs w:val="22"/>
          <w:lang w:val="id-ID"/>
        </w:rPr>
      </w:pPr>
      <w:r>
        <w:rPr>
          <w:rFonts w:ascii="Tahoma" w:hAnsi="Tahoma" w:cs="Tahoma"/>
          <w:bCs w:val="0"/>
          <w:color w:val="000000"/>
          <w:sz w:val="22"/>
          <w:szCs w:val="22"/>
          <w:lang w:val="id-ID"/>
        </w:rPr>
        <w:t>Badan Keuangan Daerah Tahun 2020</w:t>
      </w:r>
    </w:p>
    <w:p>
      <w:pPr>
        <w:pStyle w:val="20"/>
        <w:numPr>
          <w:ilvl w:val="0"/>
          <w:numId w:val="0"/>
        </w:numPr>
        <w:ind w:hanging="11"/>
        <w:rPr>
          <w:rFonts w:ascii="Tahoma" w:hAnsi="Tahoma" w:cs="Tahoma"/>
          <w:bCs w:val="0"/>
          <w:color w:val="000000"/>
          <w:sz w:val="22"/>
          <w:szCs w:val="22"/>
          <w:lang w:val="id-ID"/>
        </w:rPr>
      </w:pPr>
    </w:p>
    <w:tbl>
      <w:tblPr>
        <w:tblStyle w:val="7"/>
        <w:tblW w:w="8637" w:type="dxa"/>
        <w:tblInd w:w="356" w:type="dxa"/>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Layout w:type="fixed"/>
        <w:tblCellMar>
          <w:top w:w="0" w:type="dxa"/>
          <w:left w:w="108" w:type="dxa"/>
          <w:bottom w:w="0" w:type="dxa"/>
          <w:right w:w="108" w:type="dxa"/>
        </w:tblCellMar>
      </w:tblPr>
      <w:tblGrid>
        <w:gridCol w:w="534"/>
        <w:gridCol w:w="1701"/>
        <w:gridCol w:w="2551"/>
        <w:gridCol w:w="1135"/>
        <w:gridCol w:w="1440"/>
        <w:gridCol w:w="1276"/>
      </w:tblGrid>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c>
          <w:tcPr>
            <w:tcW w:w="534" w:type="dxa"/>
            <w:vMerge w:val="restart"/>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r>
              <w:rPr>
                <w:rFonts w:ascii="Tahoma" w:hAnsi="Tahoma" w:cs="Tahoma"/>
                <w:bCs w:val="0"/>
                <w:color w:val="000000"/>
                <w:sz w:val="22"/>
                <w:szCs w:val="22"/>
                <w:lang w:val="id-ID"/>
              </w:rPr>
              <w:t>No</w:t>
            </w:r>
          </w:p>
        </w:tc>
        <w:tc>
          <w:tcPr>
            <w:tcW w:w="1701" w:type="dxa"/>
            <w:vMerge w:val="restart"/>
            <w:shd w:val="clear" w:color="auto" w:fill="C2D69B"/>
            <w:vAlign w:val="center"/>
          </w:tcPr>
          <w:p>
            <w:pPr>
              <w:pStyle w:val="20"/>
              <w:numPr>
                <w:ilvl w:val="0"/>
                <w:numId w:val="0"/>
              </w:numPr>
              <w:rPr>
                <w:rFonts w:ascii="Tahoma" w:hAnsi="Tahoma" w:cs="Tahoma"/>
                <w:bCs w:val="0"/>
                <w:color w:val="000000"/>
                <w:sz w:val="22"/>
                <w:szCs w:val="22"/>
                <w:lang w:val="id-ID"/>
              </w:rPr>
            </w:pPr>
            <w:r>
              <w:rPr>
                <w:rFonts w:ascii="Tahoma" w:hAnsi="Tahoma" w:cs="Tahoma"/>
                <w:bCs w:val="0"/>
                <w:color w:val="000000"/>
                <w:sz w:val="22"/>
                <w:szCs w:val="22"/>
                <w:lang w:val="id-ID"/>
              </w:rPr>
              <w:t>SASARAN</w:t>
            </w:r>
          </w:p>
          <w:p>
            <w:pPr>
              <w:pStyle w:val="20"/>
              <w:numPr>
                <w:ilvl w:val="0"/>
                <w:numId w:val="0"/>
              </w:numPr>
              <w:rPr>
                <w:rFonts w:ascii="Tahoma" w:hAnsi="Tahoma" w:cs="Tahoma"/>
                <w:bCs w:val="0"/>
                <w:color w:val="000000"/>
                <w:sz w:val="22"/>
                <w:szCs w:val="22"/>
                <w:lang w:val="id-ID"/>
              </w:rPr>
            </w:pPr>
            <w:r>
              <w:rPr>
                <w:rFonts w:ascii="Tahoma" w:hAnsi="Tahoma" w:cs="Tahoma"/>
                <w:bCs w:val="0"/>
                <w:color w:val="000000"/>
                <w:sz w:val="22"/>
                <w:szCs w:val="22"/>
                <w:lang w:val="id-ID"/>
              </w:rPr>
              <w:t>STRATEGIS</w:t>
            </w:r>
          </w:p>
        </w:tc>
        <w:tc>
          <w:tcPr>
            <w:tcW w:w="2551" w:type="dxa"/>
            <w:vMerge w:val="restart"/>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r>
              <w:rPr>
                <w:rFonts w:ascii="Tahoma" w:hAnsi="Tahoma" w:cs="Tahoma"/>
                <w:bCs w:val="0"/>
                <w:color w:val="000000"/>
                <w:sz w:val="22"/>
                <w:szCs w:val="22"/>
                <w:lang w:val="id-ID"/>
              </w:rPr>
              <w:t>INDIKATOR KINERJA</w:t>
            </w:r>
          </w:p>
        </w:tc>
        <w:tc>
          <w:tcPr>
            <w:tcW w:w="3851" w:type="dxa"/>
            <w:gridSpan w:val="3"/>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r>
              <w:rPr>
                <w:rFonts w:ascii="Tahoma" w:hAnsi="Tahoma" w:cs="Tahoma"/>
                <w:bCs w:val="0"/>
                <w:color w:val="000000"/>
                <w:sz w:val="22"/>
                <w:szCs w:val="22"/>
                <w:lang w:val="id-ID"/>
              </w:rPr>
              <w:t>CAPAIAN KINERJA</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c>
          <w:tcPr>
            <w:tcW w:w="534" w:type="dxa"/>
            <w:vMerge w:val="continue"/>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p>
        </w:tc>
        <w:tc>
          <w:tcPr>
            <w:tcW w:w="1701" w:type="dxa"/>
            <w:vMerge w:val="continue"/>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p>
        </w:tc>
        <w:tc>
          <w:tcPr>
            <w:tcW w:w="2551" w:type="dxa"/>
            <w:vMerge w:val="continue"/>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p>
        </w:tc>
        <w:tc>
          <w:tcPr>
            <w:tcW w:w="1135" w:type="dxa"/>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r>
              <w:rPr>
                <w:rFonts w:ascii="Tahoma" w:hAnsi="Tahoma" w:cs="Tahoma"/>
                <w:bCs w:val="0"/>
                <w:color w:val="000000"/>
                <w:sz w:val="22"/>
                <w:szCs w:val="22"/>
                <w:lang w:val="id-ID"/>
              </w:rPr>
              <w:t>TARGET</w:t>
            </w:r>
          </w:p>
        </w:tc>
        <w:tc>
          <w:tcPr>
            <w:tcW w:w="1440" w:type="dxa"/>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r>
              <w:rPr>
                <w:rFonts w:ascii="Tahoma" w:hAnsi="Tahoma" w:cs="Tahoma"/>
                <w:bCs w:val="0"/>
                <w:color w:val="000000"/>
                <w:sz w:val="22"/>
                <w:szCs w:val="22"/>
                <w:lang w:val="id-ID"/>
              </w:rPr>
              <w:t>REALISASI</w:t>
            </w:r>
          </w:p>
        </w:tc>
        <w:tc>
          <w:tcPr>
            <w:tcW w:w="1276" w:type="dxa"/>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r>
              <w:rPr>
                <w:rFonts w:ascii="Tahoma" w:hAnsi="Tahoma" w:cs="Tahoma"/>
                <w:bCs w:val="0"/>
                <w:color w:val="000000"/>
                <w:sz w:val="22"/>
                <w:szCs w:val="22"/>
                <w:lang w:val="id-ID"/>
              </w:rPr>
              <w:t>%</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c>
          <w:tcPr>
            <w:tcW w:w="534" w:type="dxa"/>
            <w:shd w:val="clear" w:color="auto" w:fill="FFFFFF"/>
          </w:tcPr>
          <w:p>
            <w:pPr>
              <w:pStyle w:val="20"/>
              <w:numPr>
                <w:ilvl w:val="0"/>
                <w:numId w:val="0"/>
              </w:numPr>
              <w:spacing w:before="60" w:after="60"/>
              <w:rPr>
                <w:rFonts w:ascii="Calibri" w:hAnsi="Calibri" w:cs="Book Antiqua"/>
                <w:b w:val="0"/>
                <w:bCs w:val="0"/>
                <w:color w:val="000000"/>
                <w:sz w:val="18"/>
                <w:szCs w:val="18"/>
                <w:lang w:val="id-ID"/>
              </w:rPr>
            </w:pPr>
            <w:r>
              <w:rPr>
                <w:rFonts w:ascii="Calibri" w:hAnsi="Calibri" w:cs="Book Antiqua"/>
                <w:b w:val="0"/>
                <w:bCs w:val="0"/>
                <w:color w:val="000000"/>
                <w:sz w:val="18"/>
                <w:szCs w:val="18"/>
                <w:lang w:val="id-ID"/>
              </w:rPr>
              <w:t>1</w:t>
            </w:r>
          </w:p>
        </w:tc>
        <w:tc>
          <w:tcPr>
            <w:tcW w:w="1701" w:type="dxa"/>
            <w:shd w:val="clear" w:color="auto" w:fill="FFFFFF"/>
          </w:tcPr>
          <w:p>
            <w:pPr>
              <w:pStyle w:val="20"/>
              <w:numPr>
                <w:ilvl w:val="0"/>
                <w:numId w:val="0"/>
              </w:numPr>
              <w:spacing w:before="60" w:after="60"/>
              <w:ind w:left="175"/>
              <w:jc w:val="left"/>
              <w:rPr>
                <w:rFonts w:ascii="Tahoma" w:hAnsi="Tahoma" w:cs="Tahoma"/>
                <w:b w:val="0"/>
                <w:bCs w:val="0"/>
                <w:color w:val="000000"/>
                <w:sz w:val="18"/>
                <w:szCs w:val="18"/>
                <w:lang w:val="id-ID"/>
              </w:rPr>
            </w:pPr>
            <w:r>
              <w:rPr>
                <w:rFonts w:ascii="Tahoma" w:hAnsi="Tahoma" w:cs="Tahoma"/>
                <w:b w:val="0"/>
                <w:bCs w:val="0"/>
                <w:color w:val="000000"/>
                <w:sz w:val="18"/>
                <w:szCs w:val="18"/>
                <w:lang w:val="id-ID"/>
              </w:rPr>
              <w:t>Meningkatnya Kualitas Pengelolaan Keuangan Daerah</w:t>
            </w:r>
          </w:p>
        </w:tc>
        <w:tc>
          <w:tcPr>
            <w:tcW w:w="2551" w:type="dxa"/>
            <w:shd w:val="clear" w:color="auto" w:fill="FFFFFF"/>
          </w:tcPr>
          <w:p>
            <w:pPr>
              <w:pStyle w:val="20"/>
              <w:numPr>
                <w:ilvl w:val="0"/>
                <w:numId w:val="0"/>
              </w:numPr>
              <w:tabs>
                <w:tab w:val="left" w:pos="175"/>
              </w:tabs>
              <w:spacing w:before="60" w:after="60"/>
              <w:ind w:left="175" w:hanging="142"/>
              <w:jc w:val="left"/>
              <w:rPr>
                <w:rFonts w:ascii="Tahoma" w:hAnsi="Tahoma" w:cs="Tahoma"/>
                <w:b w:val="0"/>
                <w:bCs w:val="0"/>
                <w:color w:val="000000"/>
                <w:sz w:val="18"/>
                <w:szCs w:val="18"/>
                <w:lang w:val="id-ID"/>
              </w:rPr>
            </w:pPr>
            <w:r>
              <w:rPr>
                <w:rFonts w:ascii="Tahoma" w:hAnsi="Tahoma" w:cs="Tahoma"/>
                <w:b w:val="0"/>
                <w:bCs w:val="0"/>
                <w:color w:val="000000"/>
                <w:sz w:val="18"/>
                <w:szCs w:val="18"/>
                <w:lang w:val="id-ID"/>
              </w:rPr>
              <w:t>- Opini BPK</w:t>
            </w:r>
          </w:p>
        </w:tc>
        <w:tc>
          <w:tcPr>
            <w:tcW w:w="1135"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WTP</w:t>
            </w:r>
          </w:p>
        </w:tc>
        <w:tc>
          <w:tcPr>
            <w:tcW w:w="1440"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WTP</w:t>
            </w:r>
          </w:p>
        </w:tc>
        <w:tc>
          <w:tcPr>
            <w:tcW w:w="1276"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100</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c>
          <w:tcPr>
            <w:tcW w:w="534" w:type="dxa"/>
            <w:shd w:val="clear" w:color="auto" w:fill="FFFFFF"/>
          </w:tcPr>
          <w:p>
            <w:pPr>
              <w:pStyle w:val="20"/>
              <w:numPr>
                <w:ilvl w:val="0"/>
                <w:numId w:val="0"/>
              </w:numPr>
              <w:spacing w:before="60" w:after="60"/>
              <w:rPr>
                <w:rFonts w:ascii="Calibri" w:hAnsi="Calibri" w:cs="Book Antiqua"/>
                <w:b w:val="0"/>
                <w:bCs w:val="0"/>
                <w:color w:val="000000"/>
                <w:sz w:val="18"/>
                <w:szCs w:val="18"/>
                <w:lang w:val="id-ID"/>
              </w:rPr>
            </w:pPr>
            <w:r>
              <w:rPr>
                <w:rFonts w:ascii="Calibri" w:hAnsi="Calibri" w:cs="Book Antiqua"/>
                <w:b w:val="0"/>
                <w:bCs w:val="0"/>
                <w:color w:val="000000"/>
                <w:sz w:val="18"/>
                <w:szCs w:val="18"/>
                <w:lang w:val="id-ID"/>
              </w:rPr>
              <w:t>2</w:t>
            </w:r>
          </w:p>
        </w:tc>
        <w:tc>
          <w:tcPr>
            <w:tcW w:w="1701" w:type="dxa"/>
            <w:shd w:val="clear" w:color="auto" w:fill="FFFFFF"/>
          </w:tcPr>
          <w:p>
            <w:pPr>
              <w:pStyle w:val="20"/>
              <w:numPr>
                <w:ilvl w:val="0"/>
                <w:numId w:val="0"/>
              </w:numPr>
              <w:spacing w:before="60" w:after="60"/>
              <w:ind w:left="175"/>
              <w:jc w:val="left"/>
              <w:rPr>
                <w:rFonts w:ascii="Tahoma" w:hAnsi="Tahoma" w:cs="Tahoma"/>
                <w:b w:val="0"/>
                <w:bCs w:val="0"/>
                <w:color w:val="000000"/>
                <w:sz w:val="18"/>
                <w:szCs w:val="18"/>
                <w:lang w:val="id-ID"/>
              </w:rPr>
            </w:pPr>
            <w:r>
              <w:rPr>
                <w:rFonts w:ascii="Tahoma" w:hAnsi="Tahoma" w:cs="Tahoma"/>
                <w:b w:val="0"/>
                <w:bCs w:val="0"/>
                <w:color w:val="000000"/>
                <w:sz w:val="18"/>
                <w:szCs w:val="18"/>
                <w:lang w:val="id-ID"/>
              </w:rPr>
              <w:t>Meningkatnya Pendapatan Asli Daerah</w:t>
            </w:r>
          </w:p>
        </w:tc>
        <w:tc>
          <w:tcPr>
            <w:tcW w:w="2551" w:type="dxa"/>
            <w:shd w:val="clear" w:color="auto" w:fill="FFFFFF"/>
          </w:tcPr>
          <w:p>
            <w:pPr>
              <w:pStyle w:val="20"/>
              <w:numPr>
                <w:ilvl w:val="0"/>
                <w:numId w:val="0"/>
              </w:numPr>
              <w:spacing w:before="60" w:after="60"/>
              <w:ind w:left="180" w:hanging="180" w:hangingChars="100"/>
              <w:jc w:val="left"/>
              <w:rPr>
                <w:rFonts w:ascii="Tahoma" w:hAnsi="Tahoma" w:cs="Tahoma"/>
                <w:b w:val="0"/>
                <w:bCs w:val="0"/>
                <w:color w:val="000000"/>
                <w:sz w:val="18"/>
                <w:szCs w:val="18"/>
                <w:lang w:val="id-ID"/>
              </w:rPr>
            </w:pPr>
            <w:r>
              <w:rPr>
                <w:rFonts w:ascii="Tahoma" w:hAnsi="Tahoma" w:cs="Tahoma"/>
                <w:b w:val="0"/>
                <w:bCs w:val="0"/>
                <w:color w:val="000000"/>
                <w:sz w:val="18"/>
                <w:szCs w:val="18"/>
              </w:rPr>
              <w:t xml:space="preserve">-  </w:t>
            </w:r>
            <w:r>
              <w:rPr>
                <w:rFonts w:ascii="Tahoma" w:hAnsi="Tahoma" w:cs="Tahoma"/>
                <w:b w:val="0"/>
                <w:bCs w:val="0"/>
                <w:color w:val="000000"/>
                <w:sz w:val="18"/>
                <w:szCs w:val="18"/>
                <w:lang w:val="id-ID"/>
              </w:rPr>
              <w:t>Persentase Peningkatan</w:t>
            </w:r>
            <w:r>
              <w:rPr>
                <w:rFonts w:hint="default" w:ascii="Tahoma" w:hAnsi="Tahoma" w:cs="Tahoma"/>
                <w:b w:val="0"/>
                <w:bCs w:val="0"/>
                <w:color w:val="000000"/>
                <w:sz w:val="18"/>
                <w:szCs w:val="18"/>
                <w:lang w:val="en-US"/>
              </w:rPr>
              <w:t xml:space="preserve"> </w:t>
            </w:r>
            <w:r>
              <w:rPr>
                <w:rFonts w:ascii="Tahoma" w:hAnsi="Tahoma" w:cs="Tahoma"/>
                <w:b w:val="0"/>
                <w:bCs w:val="0"/>
                <w:color w:val="000000"/>
                <w:sz w:val="18"/>
                <w:szCs w:val="18"/>
                <w:lang w:val="id-ID"/>
              </w:rPr>
              <w:t>Pendapatan Asli Daerah</w:t>
            </w:r>
          </w:p>
        </w:tc>
        <w:tc>
          <w:tcPr>
            <w:tcW w:w="1135"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-8,14</w:t>
            </w:r>
          </w:p>
        </w:tc>
        <w:tc>
          <w:tcPr>
            <w:tcW w:w="1440" w:type="dxa"/>
            <w:shd w:val="clear" w:color="auto" w:fill="FFFFFF"/>
          </w:tcPr>
          <w:p>
            <w:pPr>
              <w:pStyle w:val="20"/>
              <w:numPr>
                <w:ilvl w:val="0"/>
                <w:numId w:val="0"/>
              </w:numPr>
              <w:spacing w:before="60" w:after="60"/>
              <w:rPr>
                <w:rFonts w:ascii="Tahoma" w:hAnsi="Tahoma" w:cs="Tahoma"/>
                <w:b w:val="0"/>
                <w:bCs w:val="0"/>
                <w:color w:val="000000"/>
                <w:sz w:val="18"/>
                <w:szCs w:val="18"/>
              </w:rPr>
            </w:pPr>
            <w:r>
              <w:rPr>
                <w:rFonts w:ascii="Tahoma" w:hAnsi="Tahoma" w:cs="Tahoma"/>
                <w:b w:val="0"/>
                <w:bCs w:val="0"/>
                <w:color w:val="000000"/>
                <w:sz w:val="18"/>
                <w:szCs w:val="18"/>
                <w:lang w:val="id-ID"/>
              </w:rPr>
              <w:t>-</w:t>
            </w:r>
            <w:r>
              <w:rPr>
                <w:rFonts w:ascii="Tahoma" w:hAnsi="Tahoma" w:cs="Tahoma"/>
                <w:b w:val="0"/>
                <w:bCs w:val="0"/>
                <w:color w:val="000000"/>
                <w:sz w:val="18"/>
                <w:szCs w:val="18"/>
              </w:rPr>
              <w:t>3,31</w:t>
            </w:r>
          </w:p>
        </w:tc>
        <w:tc>
          <w:tcPr>
            <w:tcW w:w="1276" w:type="dxa"/>
            <w:shd w:val="clear" w:color="auto" w:fill="FFFFFF"/>
          </w:tcPr>
          <w:p>
            <w:pPr>
              <w:pStyle w:val="20"/>
              <w:numPr>
                <w:ilvl w:val="0"/>
                <w:numId w:val="0"/>
              </w:numPr>
              <w:spacing w:before="60" w:after="60"/>
              <w:rPr>
                <w:rFonts w:ascii="Tahoma" w:hAnsi="Tahoma" w:cs="Tahoma"/>
                <w:b w:val="0"/>
                <w:bCs w:val="0"/>
                <w:color w:val="000000"/>
                <w:sz w:val="18"/>
                <w:szCs w:val="18"/>
              </w:rPr>
            </w:pPr>
            <w:r>
              <w:rPr>
                <w:rFonts w:ascii="Tahoma" w:hAnsi="Tahoma" w:cs="Tahoma"/>
                <w:b w:val="0"/>
                <w:bCs w:val="0"/>
                <w:color w:val="000000"/>
                <w:sz w:val="18"/>
                <w:szCs w:val="18"/>
              </w:rPr>
              <w:t>160</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c>
          <w:tcPr>
            <w:tcW w:w="534" w:type="dxa"/>
            <w:shd w:val="clear" w:color="auto" w:fill="FFFFFF"/>
          </w:tcPr>
          <w:p>
            <w:pPr>
              <w:pStyle w:val="20"/>
              <w:numPr>
                <w:ilvl w:val="0"/>
                <w:numId w:val="0"/>
              </w:numPr>
              <w:spacing w:before="60" w:after="60"/>
              <w:rPr>
                <w:rFonts w:ascii="Calibri" w:hAnsi="Calibri" w:cs="Book Antiqua"/>
                <w:b w:val="0"/>
                <w:bCs w:val="0"/>
                <w:color w:val="000000"/>
                <w:sz w:val="18"/>
                <w:szCs w:val="18"/>
                <w:lang w:val="id-ID"/>
              </w:rPr>
            </w:pPr>
            <w:r>
              <w:rPr>
                <w:rFonts w:ascii="Calibri" w:hAnsi="Calibri" w:cs="Book Antiqua"/>
                <w:b w:val="0"/>
                <w:bCs w:val="0"/>
                <w:color w:val="000000"/>
                <w:sz w:val="18"/>
                <w:szCs w:val="18"/>
                <w:lang w:val="id-ID"/>
              </w:rPr>
              <w:t>3</w:t>
            </w:r>
          </w:p>
        </w:tc>
        <w:tc>
          <w:tcPr>
            <w:tcW w:w="1701" w:type="dxa"/>
            <w:shd w:val="clear" w:color="auto" w:fill="FFFFFF"/>
          </w:tcPr>
          <w:p>
            <w:pPr>
              <w:pStyle w:val="20"/>
              <w:numPr>
                <w:ilvl w:val="0"/>
                <w:numId w:val="0"/>
              </w:numPr>
              <w:spacing w:before="60" w:after="60"/>
              <w:ind w:left="175"/>
              <w:jc w:val="left"/>
              <w:rPr>
                <w:rFonts w:ascii="Tahoma" w:hAnsi="Tahoma" w:cs="Tahoma"/>
                <w:b w:val="0"/>
                <w:bCs w:val="0"/>
                <w:color w:val="000000"/>
                <w:sz w:val="18"/>
                <w:szCs w:val="18"/>
                <w:lang w:val="id-ID"/>
              </w:rPr>
            </w:pPr>
            <w:r>
              <w:rPr>
                <w:rFonts w:ascii="Tahoma" w:hAnsi="Tahoma" w:cs="Tahoma"/>
                <w:b w:val="0"/>
                <w:bCs w:val="0"/>
                <w:color w:val="000000"/>
                <w:sz w:val="18"/>
                <w:szCs w:val="18"/>
                <w:lang w:val="id-ID"/>
              </w:rPr>
              <w:t>Meningkatnya Kualitas APBD Kabupaten/Kota</w:t>
            </w:r>
          </w:p>
        </w:tc>
        <w:tc>
          <w:tcPr>
            <w:tcW w:w="2551" w:type="dxa"/>
            <w:shd w:val="clear" w:color="auto" w:fill="FFFFFF"/>
          </w:tcPr>
          <w:p>
            <w:pPr>
              <w:pStyle w:val="20"/>
              <w:numPr>
                <w:ilvl w:val="0"/>
                <w:numId w:val="0"/>
              </w:numPr>
              <w:spacing w:before="60" w:after="60"/>
              <w:ind w:left="176" w:leftChars="-2" w:hanging="180" w:hangingChars="100"/>
              <w:jc w:val="left"/>
              <w:rPr>
                <w:rFonts w:ascii="Tahoma" w:hAnsi="Tahoma" w:cs="Tahoma"/>
                <w:b w:val="0"/>
                <w:bCs w:val="0"/>
                <w:color w:val="000000"/>
                <w:sz w:val="18"/>
                <w:szCs w:val="18"/>
                <w:lang w:val="id-ID"/>
              </w:rPr>
            </w:pPr>
            <w:r>
              <w:rPr>
                <w:rFonts w:ascii="Tahoma" w:hAnsi="Tahoma" w:cs="Tahoma"/>
                <w:b w:val="0"/>
                <w:bCs w:val="0"/>
                <w:color w:val="000000"/>
                <w:sz w:val="18"/>
                <w:szCs w:val="18"/>
              </w:rPr>
              <w:t xml:space="preserve">-  </w:t>
            </w:r>
            <w:r>
              <w:rPr>
                <w:rFonts w:ascii="Tahoma" w:hAnsi="Tahoma" w:cs="Tahoma"/>
                <w:b w:val="0"/>
                <w:bCs w:val="0"/>
                <w:color w:val="000000"/>
                <w:sz w:val="18"/>
                <w:szCs w:val="18"/>
                <w:lang w:val="id-ID"/>
              </w:rPr>
              <w:t>Persentase Kab</w:t>
            </w:r>
            <w:r>
              <w:rPr>
                <w:rFonts w:ascii="Tahoma" w:hAnsi="Tahoma" w:cs="Tahoma"/>
                <w:b w:val="0"/>
                <w:bCs w:val="0"/>
                <w:color w:val="000000"/>
                <w:sz w:val="18"/>
                <w:szCs w:val="18"/>
              </w:rPr>
              <w:t>upaten</w:t>
            </w:r>
            <w:r>
              <w:rPr>
                <w:rFonts w:ascii="Tahoma" w:hAnsi="Tahoma" w:cs="Tahoma"/>
                <w:b w:val="0"/>
                <w:bCs w:val="0"/>
                <w:color w:val="000000"/>
                <w:sz w:val="18"/>
                <w:szCs w:val="18"/>
                <w:lang w:val="id-ID"/>
              </w:rPr>
              <w:t>/</w:t>
            </w:r>
            <w:r>
              <w:rPr>
                <w:rFonts w:hint="default" w:ascii="Tahoma" w:hAnsi="Tahoma" w:cs="Tahoma"/>
                <w:b w:val="0"/>
                <w:bCs w:val="0"/>
                <w:color w:val="000000"/>
                <w:sz w:val="18"/>
                <w:szCs w:val="18"/>
                <w:lang w:val="en-US"/>
              </w:rPr>
              <w:t xml:space="preserve"> </w:t>
            </w:r>
            <w:r>
              <w:rPr>
                <w:rFonts w:ascii="Tahoma" w:hAnsi="Tahoma" w:cs="Tahoma"/>
                <w:b w:val="0"/>
                <w:bCs w:val="0"/>
                <w:color w:val="000000"/>
                <w:sz w:val="18"/>
                <w:szCs w:val="18"/>
                <w:lang w:val="id-ID"/>
              </w:rPr>
              <w:t>Kota dengan Opini WTP</w:t>
            </w:r>
          </w:p>
        </w:tc>
        <w:tc>
          <w:tcPr>
            <w:tcW w:w="1135"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100</w:t>
            </w:r>
          </w:p>
        </w:tc>
        <w:tc>
          <w:tcPr>
            <w:tcW w:w="1440"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100</w:t>
            </w:r>
          </w:p>
        </w:tc>
        <w:tc>
          <w:tcPr>
            <w:tcW w:w="1276"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100</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c>
          <w:tcPr>
            <w:tcW w:w="534" w:type="dxa"/>
            <w:shd w:val="clear" w:color="auto" w:fill="FFFFFF"/>
          </w:tcPr>
          <w:p>
            <w:pPr>
              <w:pStyle w:val="20"/>
              <w:numPr>
                <w:ilvl w:val="0"/>
                <w:numId w:val="0"/>
              </w:numPr>
              <w:spacing w:before="60" w:after="60"/>
              <w:rPr>
                <w:rFonts w:ascii="Calibri" w:hAnsi="Calibri" w:cs="Book Antiqua"/>
                <w:b w:val="0"/>
                <w:bCs w:val="0"/>
                <w:color w:val="000000"/>
                <w:sz w:val="18"/>
                <w:szCs w:val="18"/>
                <w:lang w:val="id-ID"/>
              </w:rPr>
            </w:pPr>
            <w:r>
              <w:rPr>
                <w:rFonts w:ascii="Calibri" w:hAnsi="Calibri" w:cs="Book Antiqua"/>
                <w:b w:val="0"/>
                <w:bCs w:val="0"/>
                <w:color w:val="000000"/>
                <w:sz w:val="18"/>
                <w:szCs w:val="18"/>
                <w:lang w:val="id-ID"/>
              </w:rPr>
              <w:t>4</w:t>
            </w:r>
          </w:p>
        </w:tc>
        <w:tc>
          <w:tcPr>
            <w:tcW w:w="1701" w:type="dxa"/>
            <w:shd w:val="clear" w:color="auto" w:fill="FFFFFF"/>
          </w:tcPr>
          <w:p>
            <w:pPr>
              <w:pStyle w:val="20"/>
              <w:numPr>
                <w:ilvl w:val="0"/>
                <w:numId w:val="0"/>
              </w:numPr>
              <w:spacing w:before="60" w:after="60"/>
              <w:ind w:left="175"/>
              <w:jc w:val="left"/>
              <w:rPr>
                <w:rFonts w:ascii="Tahoma" w:hAnsi="Tahoma" w:cs="Tahoma"/>
                <w:b w:val="0"/>
                <w:bCs w:val="0"/>
                <w:color w:val="000000"/>
                <w:sz w:val="18"/>
                <w:szCs w:val="18"/>
                <w:lang w:val="id-ID"/>
              </w:rPr>
            </w:pPr>
            <w:r>
              <w:rPr>
                <w:rFonts w:ascii="Tahoma" w:hAnsi="Tahoma" w:cs="Tahoma"/>
                <w:b w:val="0"/>
                <w:bCs w:val="0"/>
                <w:color w:val="000000"/>
                <w:sz w:val="18"/>
                <w:szCs w:val="18"/>
                <w:lang w:val="id-ID"/>
              </w:rPr>
              <w:t>Meningkatnya Kualitas Pelayanan Publik</w:t>
            </w:r>
          </w:p>
        </w:tc>
        <w:tc>
          <w:tcPr>
            <w:tcW w:w="2551" w:type="dxa"/>
            <w:shd w:val="clear" w:color="auto" w:fill="FFFFFF"/>
          </w:tcPr>
          <w:p>
            <w:pPr>
              <w:pStyle w:val="20"/>
              <w:numPr>
                <w:ilvl w:val="0"/>
                <w:numId w:val="0"/>
              </w:numPr>
              <w:spacing w:before="60" w:after="60"/>
              <w:ind w:left="176" w:leftChars="-2" w:hanging="180" w:hangingChars="100"/>
              <w:jc w:val="left"/>
              <w:rPr>
                <w:rFonts w:ascii="Tahoma" w:hAnsi="Tahoma" w:cs="Tahoma"/>
                <w:b w:val="0"/>
                <w:bCs w:val="0"/>
                <w:color w:val="000000"/>
                <w:sz w:val="18"/>
                <w:szCs w:val="18"/>
                <w:lang w:val="id-ID"/>
              </w:rPr>
            </w:pPr>
            <w:r>
              <w:rPr>
                <w:rFonts w:ascii="Tahoma" w:hAnsi="Tahoma" w:cs="Tahoma"/>
                <w:b w:val="0"/>
                <w:bCs w:val="0"/>
                <w:color w:val="000000"/>
                <w:sz w:val="18"/>
                <w:szCs w:val="18"/>
              </w:rPr>
              <w:t xml:space="preserve">-  </w:t>
            </w:r>
            <w:r>
              <w:rPr>
                <w:rFonts w:ascii="Tahoma" w:hAnsi="Tahoma" w:cs="Tahoma"/>
                <w:b w:val="0"/>
                <w:bCs w:val="0"/>
                <w:color w:val="000000"/>
                <w:sz w:val="18"/>
                <w:szCs w:val="18"/>
                <w:lang w:val="id-ID"/>
              </w:rPr>
              <w:t>Indeks Kepuasan Masyarakat</w:t>
            </w:r>
          </w:p>
        </w:tc>
        <w:tc>
          <w:tcPr>
            <w:tcW w:w="1135"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Baik</w:t>
            </w:r>
          </w:p>
        </w:tc>
        <w:tc>
          <w:tcPr>
            <w:tcW w:w="1440"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Baik</w:t>
            </w:r>
          </w:p>
        </w:tc>
        <w:tc>
          <w:tcPr>
            <w:tcW w:w="1276"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rPr>
              <w:t>10</w:t>
            </w:r>
            <w:r>
              <w:rPr>
                <w:rFonts w:ascii="Tahoma" w:hAnsi="Tahoma" w:cs="Tahoma"/>
                <w:b w:val="0"/>
                <w:bCs w:val="0"/>
                <w:color w:val="000000"/>
                <w:sz w:val="18"/>
                <w:szCs w:val="18"/>
                <w:lang w:val="id-ID"/>
              </w:rPr>
              <w:t>0</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c>
          <w:tcPr>
            <w:tcW w:w="534" w:type="dxa"/>
            <w:shd w:val="clear" w:color="auto" w:fill="FFFFFF"/>
          </w:tcPr>
          <w:p>
            <w:pPr>
              <w:pStyle w:val="20"/>
              <w:numPr>
                <w:ilvl w:val="0"/>
                <w:numId w:val="0"/>
              </w:numPr>
              <w:spacing w:before="60" w:after="60"/>
              <w:rPr>
                <w:rFonts w:ascii="Calibri" w:hAnsi="Calibri" w:cs="Book Antiqua"/>
                <w:b w:val="0"/>
                <w:bCs w:val="0"/>
                <w:color w:val="000000"/>
                <w:sz w:val="18"/>
                <w:szCs w:val="18"/>
                <w:lang w:val="id-ID"/>
              </w:rPr>
            </w:pPr>
            <w:r>
              <w:rPr>
                <w:rFonts w:ascii="Calibri" w:hAnsi="Calibri" w:cs="Book Antiqua"/>
                <w:b w:val="0"/>
                <w:bCs w:val="0"/>
                <w:color w:val="000000"/>
                <w:sz w:val="18"/>
                <w:szCs w:val="18"/>
                <w:lang w:val="id-ID"/>
              </w:rPr>
              <w:t>5</w:t>
            </w:r>
          </w:p>
        </w:tc>
        <w:tc>
          <w:tcPr>
            <w:tcW w:w="1701" w:type="dxa"/>
            <w:shd w:val="clear" w:color="auto" w:fill="FFFFFF"/>
          </w:tcPr>
          <w:p>
            <w:pPr>
              <w:pStyle w:val="20"/>
              <w:numPr>
                <w:ilvl w:val="0"/>
                <w:numId w:val="0"/>
              </w:numPr>
              <w:spacing w:before="60" w:after="60"/>
              <w:ind w:left="175"/>
              <w:jc w:val="left"/>
              <w:rPr>
                <w:rFonts w:hint="default" w:ascii="Tahoma" w:hAnsi="Tahoma" w:cs="Tahoma"/>
                <w:b w:val="0"/>
                <w:bCs w:val="0"/>
                <w:color w:val="000000"/>
                <w:sz w:val="18"/>
                <w:szCs w:val="18"/>
                <w:lang w:val="en-US"/>
              </w:rPr>
            </w:pPr>
            <w:r>
              <w:rPr>
                <w:rFonts w:hint="default" w:ascii="Tahoma" w:hAnsi="Tahoma" w:cs="Tahoma"/>
                <w:b w:val="0"/>
                <w:bCs w:val="0"/>
                <w:color w:val="000000"/>
                <w:sz w:val="18"/>
                <w:szCs w:val="18"/>
                <w:lang w:val="en-US"/>
              </w:rPr>
              <w:t>Meningkatnya Tata Kelola Organisasi</w:t>
            </w:r>
          </w:p>
        </w:tc>
        <w:tc>
          <w:tcPr>
            <w:tcW w:w="2551" w:type="dxa"/>
            <w:shd w:val="clear" w:color="auto" w:fill="FFFFFF"/>
          </w:tcPr>
          <w:p>
            <w:pPr>
              <w:pStyle w:val="20"/>
              <w:numPr>
                <w:ilvl w:val="0"/>
                <w:numId w:val="0"/>
              </w:numPr>
              <w:spacing w:before="60" w:after="60"/>
              <w:ind w:left="176" w:leftChars="-2" w:hanging="180" w:hangingChars="100"/>
              <w:jc w:val="left"/>
              <w:rPr>
                <w:rFonts w:ascii="Tahoma" w:hAnsi="Tahoma" w:cs="Tahoma"/>
                <w:b w:val="0"/>
                <w:bCs w:val="0"/>
                <w:color w:val="000000"/>
                <w:sz w:val="18"/>
                <w:szCs w:val="18"/>
                <w:lang w:val="id-ID"/>
              </w:rPr>
            </w:pPr>
            <w:r>
              <w:rPr>
                <w:rFonts w:ascii="Tahoma" w:hAnsi="Tahoma" w:cs="Tahoma"/>
                <w:b w:val="0"/>
                <w:bCs w:val="0"/>
                <w:color w:val="000000"/>
                <w:sz w:val="18"/>
                <w:szCs w:val="18"/>
              </w:rPr>
              <w:t xml:space="preserve">-  </w:t>
            </w:r>
            <w:r>
              <w:rPr>
                <w:rFonts w:ascii="Tahoma" w:hAnsi="Tahoma" w:cs="Tahoma"/>
                <w:b w:val="0"/>
                <w:bCs w:val="0"/>
                <w:color w:val="000000"/>
                <w:sz w:val="18"/>
                <w:szCs w:val="18"/>
                <w:lang w:val="id-ID"/>
              </w:rPr>
              <w:t>Nilai Evaluasi Akuntabilitas Kinerja</w:t>
            </w:r>
          </w:p>
        </w:tc>
        <w:tc>
          <w:tcPr>
            <w:tcW w:w="1135"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A</w:t>
            </w:r>
          </w:p>
        </w:tc>
        <w:tc>
          <w:tcPr>
            <w:tcW w:w="1440"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A</w:t>
            </w:r>
          </w:p>
        </w:tc>
        <w:tc>
          <w:tcPr>
            <w:tcW w:w="1276"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rPr>
              <w:t>10</w:t>
            </w:r>
            <w:r>
              <w:rPr>
                <w:rFonts w:ascii="Tahoma" w:hAnsi="Tahoma" w:cs="Tahoma"/>
                <w:b w:val="0"/>
                <w:bCs w:val="0"/>
                <w:color w:val="000000"/>
                <w:sz w:val="18"/>
                <w:szCs w:val="18"/>
                <w:lang w:val="id-ID"/>
              </w:rPr>
              <w:t>0</w:t>
            </w:r>
          </w:p>
        </w:tc>
      </w:tr>
    </w:tbl>
    <w:p>
      <w:pPr>
        <w:spacing w:after="0" w:line="360" w:lineRule="auto"/>
        <w:ind w:left="539"/>
        <w:jc w:val="both"/>
        <w:rPr>
          <w:color w:val="000000"/>
          <w:sz w:val="24"/>
          <w:szCs w:val="24"/>
          <w:lang w:val="id-ID"/>
        </w:rPr>
      </w:pPr>
    </w:p>
    <w:p>
      <w:pPr>
        <w:spacing w:afterLines="50" w:line="360" w:lineRule="auto"/>
        <w:ind w:left="442"/>
        <w:jc w:val="both"/>
        <w:rPr>
          <w:rFonts w:ascii="Tahoma" w:hAnsi="Tahoma" w:cs="Tahoma"/>
          <w:color w:val="000000"/>
          <w:lang w:val="id-ID"/>
        </w:rPr>
      </w:pPr>
      <w:r>
        <w:rPr>
          <w:rFonts w:ascii="Tahoma" w:hAnsi="Tahoma" w:cs="Tahoma"/>
          <w:color w:val="000000"/>
          <w:lang w:val="id-ID"/>
        </w:rPr>
        <w:t xml:space="preserve">Analisis dan Kajian Capaian Kinerja Sasaran Strategis yang dicerminkan oleh realisasi target Indikator Kinerja Utama </w:t>
      </w:r>
      <w:r>
        <w:rPr>
          <w:rFonts w:ascii="Tahoma" w:hAnsi="Tahoma" w:cs="Tahoma"/>
          <w:color w:val="000000"/>
        </w:rPr>
        <w:t>Badan Keuangan Daerah</w:t>
      </w:r>
      <w:r>
        <w:rPr>
          <w:rFonts w:ascii="Tahoma" w:hAnsi="Tahoma" w:cs="Tahoma"/>
          <w:color w:val="000000"/>
          <w:lang w:val="id-ID"/>
        </w:rPr>
        <w:t xml:space="preserve"> Provinsi Sumatera Barat pada tahun 2020 ini dapat dijabarkan sebagai berikut :</w:t>
      </w:r>
    </w:p>
    <w:p>
      <w:pPr>
        <w:pStyle w:val="20"/>
        <w:numPr>
          <w:ilvl w:val="0"/>
          <w:numId w:val="28"/>
        </w:numPr>
        <w:tabs>
          <w:tab w:val="left" w:pos="851"/>
        </w:tabs>
        <w:spacing w:afterLines="50"/>
        <w:ind w:left="901" w:hanging="363"/>
        <w:jc w:val="both"/>
        <w:rPr>
          <w:rFonts w:ascii="Tahoma" w:hAnsi="Tahoma" w:cs="Tahoma"/>
          <w:sz w:val="22"/>
          <w:szCs w:val="22"/>
          <w:lang w:val="id-ID"/>
        </w:rPr>
      </w:pPr>
      <w:r>
        <w:rPr>
          <w:rFonts w:ascii="Tahoma" w:hAnsi="Tahoma" w:cs="Tahoma"/>
          <w:sz w:val="22"/>
          <w:szCs w:val="22"/>
          <w:lang w:val="id-ID"/>
        </w:rPr>
        <w:t>Meningkatnya Kualitas Pengelolaan Keuangan Daerah</w:t>
      </w:r>
    </w:p>
    <w:p>
      <w:pPr>
        <w:pStyle w:val="20"/>
        <w:numPr>
          <w:ilvl w:val="0"/>
          <w:numId w:val="0"/>
        </w:numPr>
        <w:spacing w:before="120" w:afterLines="50" w:line="360" w:lineRule="auto"/>
        <w:ind w:left="851"/>
        <w:jc w:val="both"/>
        <w:rPr>
          <w:rFonts w:ascii="Tahoma" w:hAnsi="Tahoma" w:cs="Tahoma"/>
          <w:b w:val="0"/>
          <w:bCs w:val="0"/>
          <w:color w:val="000000"/>
          <w:sz w:val="22"/>
          <w:szCs w:val="22"/>
          <w:lang w:val="id-ID"/>
        </w:rPr>
      </w:pPr>
      <w:r>
        <w:rPr>
          <w:rFonts w:ascii="Tahoma" w:hAnsi="Tahoma" w:cs="Tahoma"/>
          <w:b w:val="0"/>
          <w:bCs w:val="0"/>
          <w:color w:val="000000"/>
          <w:sz w:val="22"/>
          <w:szCs w:val="22"/>
          <w:lang w:val="id-ID"/>
        </w:rPr>
        <w:t xml:space="preserve">Pada </w:t>
      </w:r>
      <w:r>
        <w:rPr>
          <w:rFonts w:ascii="Tahoma" w:hAnsi="Tahoma" w:cs="Tahoma"/>
          <w:b w:val="0"/>
          <w:bCs w:val="0"/>
          <w:color w:val="000000"/>
          <w:sz w:val="22"/>
          <w:szCs w:val="22"/>
        </w:rPr>
        <w:t>s</w:t>
      </w:r>
      <w:r>
        <w:rPr>
          <w:rFonts w:ascii="Tahoma" w:hAnsi="Tahoma" w:cs="Tahoma"/>
          <w:b w:val="0"/>
          <w:bCs w:val="0"/>
          <w:color w:val="000000"/>
          <w:sz w:val="22"/>
          <w:szCs w:val="22"/>
          <w:lang w:val="id-ID"/>
        </w:rPr>
        <w:t xml:space="preserve">asaran meningkatnya kualitas pengelolaan keuangan daerah dapat dilihat bahwa indikator kinerjanya </w:t>
      </w:r>
      <w:r>
        <w:rPr>
          <w:rFonts w:ascii="Tahoma" w:hAnsi="Tahoma" w:cs="Tahoma"/>
          <w:b w:val="0"/>
          <w:bCs w:val="0"/>
          <w:color w:val="000000"/>
          <w:sz w:val="22"/>
          <w:szCs w:val="22"/>
        </w:rPr>
        <w:t>adalah o</w:t>
      </w:r>
      <w:r>
        <w:rPr>
          <w:rFonts w:ascii="Tahoma" w:hAnsi="Tahoma" w:cs="Tahoma"/>
          <w:b w:val="0"/>
          <w:bCs w:val="0"/>
          <w:color w:val="000000"/>
          <w:sz w:val="22"/>
          <w:szCs w:val="22"/>
          <w:lang w:val="id-ID"/>
        </w:rPr>
        <w:t xml:space="preserve">pini BPK dengan target WTP. Adapun realisasi  sasaran strategis meningkatnya kualitas pengelolaan keuangan daerah dapat dilihat sebagaimana tabel  dibawah ini : </w:t>
      </w:r>
    </w:p>
    <w:p>
      <w:pPr>
        <w:pStyle w:val="20"/>
        <w:numPr>
          <w:ilvl w:val="0"/>
          <w:numId w:val="0"/>
        </w:numPr>
        <w:spacing w:afterLines="50"/>
        <w:ind w:left="850" w:hanging="11"/>
        <w:rPr>
          <w:rFonts w:ascii="Tahoma" w:hAnsi="Tahoma" w:cs="Tahoma"/>
          <w:bCs w:val="0"/>
          <w:color w:val="000000"/>
          <w:sz w:val="22"/>
          <w:szCs w:val="22"/>
          <w:lang w:val="id-ID"/>
        </w:rPr>
      </w:pPr>
      <w:r>
        <w:rPr>
          <w:rFonts w:ascii="Tahoma" w:hAnsi="Tahoma" w:cs="Tahoma"/>
          <w:bCs w:val="0"/>
          <w:color w:val="000000"/>
          <w:sz w:val="22"/>
          <w:szCs w:val="22"/>
          <w:lang w:val="id-ID"/>
        </w:rPr>
        <w:t>Tabel 3.</w:t>
      </w:r>
      <w:r>
        <w:rPr>
          <w:rFonts w:hint="default" w:ascii="Tahoma" w:hAnsi="Tahoma" w:cs="Tahoma"/>
          <w:bCs w:val="0"/>
          <w:color w:val="000000"/>
          <w:sz w:val="22"/>
          <w:szCs w:val="22"/>
          <w:lang w:val="en-US"/>
        </w:rPr>
        <w:t>4</w:t>
      </w:r>
    </w:p>
    <w:p>
      <w:pPr>
        <w:pStyle w:val="20"/>
        <w:numPr>
          <w:ilvl w:val="0"/>
          <w:numId w:val="0"/>
        </w:numPr>
        <w:ind w:left="851" w:hanging="11"/>
        <w:rPr>
          <w:rFonts w:ascii="Tahoma" w:hAnsi="Tahoma" w:cs="Tahoma"/>
          <w:bCs w:val="0"/>
          <w:color w:val="000000"/>
          <w:sz w:val="22"/>
          <w:szCs w:val="22"/>
          <w:lang w:val="id-ID"/>
        </w:rPr>
      </w:pPr>
      <w:r>
        <w:rPr>
          <w:rFonts w:ascii="Tahoma" w:hAnsi="Tahoma" w:cs="Tahoma"/>
          <w:bCs w:val="0"/>
          <w:color w:val="000000"/>
          <w:sz w:val="22"/>
          <w:szCs w:val="22"/>
          <w:lang w:val="id-ID"/>
        </w:rPr>
        <w:t>Pengukuran Kinerja</w:t>
      </w:r>
    </w:p>
    <w:p>
      <w:pPr>
        <w:pStyle w:val="20"/>
        <w:numPr>
          <w:ilvl w:val="0"/>
          <w:numId w:val="0"/>
        </w:numPr>
        <w:tabs>
          <w:tab w:val="clear" w:pos="1080"/>
        </w:tabs>
        <w:ind w:left="1058" w:leftChars="481" w:firstLine="205" w:firstLineChars="93"/>
        <w:jc w:val="both"/>
        <w:rPr>
          <w:rFonts w:ascii="Tahoma" w:hAnsi="Tahoma" w:cs="Tahoma"/>
          <w:bCs w:val="0"/>
          <w:color w:val="000000"/>
          <w:sz w:val="22"/>
          <w:szCs w:val="22"/>
          <w:lang w:val="id-ID"/>
        </w:rPr>
      </w:pPr>
      <w:r>
        <w:rPr>
          <w:rFonts w:ascii="Tahoma" w:hAnsi="Tahoma" w:cs="Tahoma"/>
          <w:bCs w:val="0"/>
          <w:color w:val="000000"/>
          <w:sz w:val="22"/>
          <w:szCs w:val="22"/>
          <w:lang w:val="id-ID"/>
        </w:rPr>
        <w:t>Meningkatnya Kualitas Pengelolaan Keuangan Daerah Tahun 2020</w:t>
      </w:r>
    </w:p>
    <w:p>
      <w:pPr>
        <w:pStyle w:val="20"/>
        <w:numPr>
          <w:ilvl w:val="0"/>
          <w:numId w:val="0"/>
        </w:numPr>
        <w:ind w:left="851" w:hanging="11"/>
        <w:rPr>
          <w:rFonts w:ascii="Tahoma" w:hAnsi="Tahoma" w:cs="Tahoma"/>
          <w:bCs w:val="0"/>
          <w:color w:val="000000"/>
          <w:sz w:val="22"/>
          <w:szCs w:val="22"/>
          <w:lang w:val="id-ID"/>
        </w:rPr>
      </w:pPr>
    </w:p>
    <w:tbl>
      <w:tblPr>
        <w:tblStyle w:val="7"/>
        <w:tblW w:w="8296" w:type="dxa"/>
        <w:tblInd w:w="911" w:type="dxa"/>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Layout w:type="fixed"/>
        <w:tblCellMar>
          <w:top w:w="0" w:type="dxa"/>
          <w:left w:w="108" w:type="dxa"/>
          <w:bottom w:w="0" w:type="dxa"/>
          <w:right w:w="108" w:type="dxa"/>
        </w:tblCellMar>
      </w:tblPr>
      <w:tblGrid>
        <w:gridCol w:w="588"/>
        <w:gridCol w:w="2720"/>
        <w:gridCol w:w="1701"/>
        <w:gridCol w:w="1504"/>
        <w:gridCol w:w="936"/>
        <w:gridCol w:w="847"/>
      </w:tblGrid>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rPr>
          <w:trHeight w:val="511" w:hRule="atLeast"/>
        </w:trPr>
        <w:tc>
          <w:tcPr>
            <w:tcW w:w="588" w:type="dxa"/>
            <w:vMerge w:val="restart"/>
            <w:shd w:val="clear" w:color="auto" w:fill="C2D69B"/>
            <w:vAlign w:val="center"/>
          </w:tcPr>
          <w:p>
            <w:pPr>
              <w:pStyle w:val="20"/>
              <w:numPr>
                <w:ilvl w:val="0"/>
                <w:numId w:val="0"/>
              </w:numPr>
              <w:spacing w:before="120" w:after="120"/>
              <w:rPr>
                <w:rFonts w:ascii="Calibri" w:hAnsi="Calibri" w:cs="Book Antiqua"/>
                <w:bCs w:val="0"/>
                <w:color w:val="000000"/>
                <w:sz w:val="22"/>
                <w:szCs w:val="22"/>
                <w:lang w:val="id-ID"/>
              </w:rPr>
            </w:pPr>
            <w:r>
              <w:rPr>
                <w:rFonts w:ascii="Calibri" w:hAnsi="Calibri" w:cs="Book Antiqua"/>
                <w:bCs w:val="0"/>
                <w:color w:val="000000"/>
                <w:sz w:val="22"/>
                <w:szCs w:val="22"/>
                <w:lang w:val="id-ID"/>
              </w:rPr>
              <w:t>No</w:t>
            </w:r>
          </w:p>
        </w:tc>
        <w:tc>
          <w:tcPr>
            <w:tcW w:w="2720" w:type="dxa"/>
            <w:vMerge w:val="restart"/>
            <w:shd w:val="clear" w:color="auto" w:fill="C2D69B"/>
            <w:vAlign w:val="center"/>
          </w:tcPr>
          <w:p>
            <w:pPr>
              <w:pStyle w:val="20"/>
              <w:numPr>
                <w:ilvl w:val="0"/>
                <w:numId w:val="0"/>
              </w:numPr>
              <w:rPr>
                <w:rFonts w:ascii="Tahoma" w:hAnsi="Tahoma" w:cs="Tahoma"/>
                <w:bCs w:val="0"/>
                <w:color w:val="000000"/>
                <w:sz w:val="20"/>
                <w:szCs w:val="20"/>
                <w:lang w:val="id-ID"/>
              </w:rPr>
            </w:pPr>
            <w:r>
              <w:rPr>
                <w:rFonts w:ascii="Tahoma" w:hAnsi="Tahoma" w:cs="Tahoma"/>
                <w:bCs w:val="0"/>
                <w:color w:val="000000"/>
                <w:sz w:val="20"/>
                <w:szCs w:val="20"/>
                <w:lang w:val="id-ID"/>
              </w:rPr>
              <w:t>SASARAN</w:t>
            </w:r>
          </w:p>
          <w:p>
            <w:pPr>
              <w:pStyle w:val="20"/>
              <w:numPr>
                <w:ilvl w:val="0"/>
                <w:numId w:val="0"/>
              </w:numPr>
              <w:rPr>
                <w:rFonts w:ascii="Tahoma" w:hAnsi="Tahoma" w:cs="Tahoma"/>
                <w:bCs w:val="0"/>
                <w:color w:val="000000"/>
                <w:sz w:val="20"/>
                <w:szCs w:val="20"/>
                <w:lang w:val="id-ID"/>
              </w:rPr>
            </w:pPr>
            <w:r>
              <w:rPr>
                <w:rFonts w:ascii="Tahoma" w:hAnsi="Tahoma" w:cs="Tahoma"/>
                <w:bCs w:val="0"/>
                <w:color w:val="000000"/>
                <w:sz w:val="20"/>
                <w:szCs w:val="20"/>
                <w:lang w:val="id-ID"/>
              </w:rPr>
              <w:t>STRATEGIS</w:t>
            </w:r>
          </w:p>
        </w:tc>
        <w:tc>
          <w:tcPr>
            <w:tcW w:w="1701" w:type="dxa"/>
            <w:vMerge w:val="restart"/>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INDIKATOR KINERJA</w:t>
            </w:r>
          </w:p>
        </w:tc>
        <w:tc>
          <w:tcPr>
            <w:tcW w:w="3287" w:type="dxa"/>
            <w:gridSpan w:val="3"/>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CAPAIAN KINERJA</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rPr>
          <w:trHeight w:val="149" w:hRule="atLeast"/>
        </w:trPr>
        <w:tc>
          <w:tcPr>
            <w:tcW w:w="588" w:type="dxa"/>
            <w:vMerge w:val="continue"/>
            <w:shd w:val="clear" w:color="auto" w:fill="C2D69B"/>
            <w:vAlign w:val="center"/>
          </w:tcPr>
          <w:p>
            <w:pPr>
              <w:pStyle w:val="20"/>
              <w:numPr>
                <w:ilvl w:val="0"/>
                <w:numId w:val="0"/>
              </w:numPr>
              <w:spacing w:before="120" w:after="120"/>
              <w:rPr>
                <w:rFonts w:ascii="Calibri" w:hAnsi="Calibri" w:cs="Book Antiqua"/>
                <w:bCs w:val="0"/>
                <w:color w:val="000000"/>
                <w:sz w:val="22"/>
                <w:szCs w:val="22"/>
                <w:lang w:val="id-ID"/>
              </w:rPr>
            </w:pPr>
          </w:p>
        </w:tc>
        <w:tc>
          <w:tcPr>
            <w:tcW w:w="2720" w:type="dxa"/>
            <w:vMerge w:val="continue"/>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p>
        </w:tc>
        <w:tc>
          <w:tcPr>
            <w:tcW w:w="1701" w:type="dxa"/>
            <w:vMerge w:val="continue"/>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p>
        </w:tc>
        <w:tc>
          <w:tcPr>
            <w:tcW w:w="1504" w:type="dxa"/>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TARGET</w:t>
            </w:r>
          </w:p>
        </w:tc>
        <w:tc>
          <w:tcPr>
            <w:tcW w:w="936" w:type="dxa"/>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REALI SASI</w:t>
            </w:r>
          </w:p>
        </w:tc>
        <w:tc>
          <w:tcPr>
            <w:tcW w:w="847" w:type="dxa"/>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rPr>
          <w:trHeight w:val="342" w:hRule="atLeast"/>
        </w:trPr>
        <w:tc>
          <w:tcPr>
            <w:tcW w:w="588"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1</w:t>
            </w:r>
          </w:p>
        </w:tc>
        <w:tc>
          <w:tcPr>
            <w:tcW w:w="2720" w:type="dxa"/>
            <w:shd w:val="clear" w:color="auto" w:fill="FFFFFF"/>
          </w:tcPr>
          <w:p>
            <w:pPr>
              <w:pStyle w:val="20"/>
              <w:numPr>
                <w:ilvl w:val="0"/>
                <w:numId w:val="0"/>
              </w:numPr>
              <w:spacing w:before="60" w:after="60"/>
              <w:ind w:left="61"/>
              <w:jc w:val="left"/>
              <w:rPr>
                <w:rFonts w:ascii="Tahoma" w:hAnsi="Tahoma" w:cs="Tahoma"/>
                <w:bCs w:val="0"/>
                <w:color w:val="000000"/>
                <w:sz w:val="18"/>
                <w:szCs w:val="18"/>
                <w:lang w:val="id-ID"/>
              </w:rPr>
            </w:pPr>
            <w:r>
              <w:rPr>
                <w:rFonts w:ascii="Tahoma" w:hAnsi="Tahoma" w:cs="Tahoma"/>
                <w:bCs w:val="0"/>
                <w:color w:val="000000"/>
                <w:sz w:val="18"/>
                <w:szCs w:val="18"/>
                <w:lang w:val="id-ID"/>
              </w:rPr>
              <w:t>Meningkatnya Kualitas Pengelolaan Keuangan Daerah</w:t>
            </w:r>
          </w:p>
        </w:tc>
        <w:tc>
          <w:tcPr>
            <w:tcW w:w="1701" w:type="dxa"/>
            <w:shd w:val="clear" w:color="auto" w:fill="FFFFFF"/>
          </w:tcPr>
          <w:p>
            <w:pPr>
              <w:pStyle w:val="20"/>
              <w:numPr>
                <w:ilvl w:val="0"/>
                <w:numId w:val="0"/>
              </w:numPr>
              <w:spacing w:before="60" w:after="60"/>
              <w:ind w:left="-5" w:firstLine="450" w:firstLineChars="250"/>
              <w:jc w:val="left"/>
              <w:rPr>
                <w:rFonts w:ascii="Tahoma" w:hAnsi="Tahoma" w:cs="Tahoma"/>
                <w:b w:val="0"/>
                <w:bCs w:val="0"/>
                <w:color w:val="000000"/>
                <w:sz w:val="18"/>
                <w:szCs w:val="18"/>
                <w:lang w:val="id-ID"/>
              </w:rPr>
            </w:pPr>
            <w:r>
              <w:rPr>
                <w:rFonts w:ascii="Tahoma" w:hAnsi="Tahoma" w:cs="Tahoma"/>
                <w:b w:val="0"/>
                <w:bCs w:val="0"/>
                <w:color w:val="000000"/>
                <w:sz w:val="18"/>
                <w:szCs w:val="18"/>
                <w:lang w:val="id-ID"/>
              </w:rPr>
              <w:t>Opini BPK</w:t>
            </w:r>
          </w:p>
        </w:tc>
        <w:tc>
          <w:tcPr>
            <w:tcW w:w="1504"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WTP</w:t>
            </w:r>
          </w:p>
        </w:tc>
        <w:tc>
          <w:tcPr>
            <w:tcW w:w="936" w:type="dxa"/>
            <w:shd w:val="clear" w:color="auto" w:fill="FFFFFF"/>
          </w:tcPr>
          <w:p>
            <w:pPr>
              <w:pStyle w:val="20"/>
              <w:numPr>
                <w:ilvl w:val="0"/>
                <w:numId w:val="0"/>
              </w:numPr>
              <w:spacing w:before="60" w:after="60"/>
              <w:rPr>
                <w:rFonts w:ascii="Tahoma" w:hAnsi="Tahoma" w:cs="Tahoma"/>
                <w:b w:val="0"/>
                <w:bCs w:val="0"/>
                <w:sz w:val="18"/>
                <w:szCs w:val="18"/>
                <w:lang w:val="id-ID"/>
              </w:rPr>
            </w:pPr>
            <w:r>
              <w:rPr>
                <w:rFonts w:ascii="Tahoma" w:hAnsi="Tahoma" w:cs="Tahoma"/>
                <w:b w:val="0"/>
                <w:bCs w:val="0"/>
                <w:sz w:val="18"/>
                <w:szCs w:val="18"/>
                <w:lang w:val="id-ID"/>
              </w:rPr>
              <w:t>WTP</w:t>
            </w:r>
          </w:p>
        </w:tc>
        <w:tc>
          <w:tcPr>
            <w:tcW w:w="847" w:type="dxa"/>
            <w:shd w:val="clear" w:color="auto" w:fill="FFFFFF"/>
          </w:tcPr>
          <w:p>
            <w:pPr>
              <w:pStyle w:val="20"/>
              <w:numPr>
                <w:ilvl w:val="0"/>
                <w:numId w:val="0"/>
              </w:numPr>
              <w:spacing w:before="60" w:after="60"/>
              <w:rPr>
                <w:rFonts w:ascii="Tahoma" w:hAnsi="Tahoma" w:cs="Tahoma"/>
                <w:b w:val="0"/>
                <w:bCs w:val="0"/>
                <w:sz w:val="18"/>
                <w:szCs w:val="18"/>
                <w:lang w:val="id-ID"/>
              </w:rPr>
            </w:pPr>
            <w:r>
              <w:rPr>
                <w:rFonts w:ascii="Tahoma" w:hAnsi="Tahoma" w:cs="Tahoma"/>
                <w:b w:val="0"/>
                <w:bCs w:val="0"/>
                <w:sz w:val="18"/>
                <w:szCs w:val="18"/>
                <w:lang w:val="id-ID"/>
              </w:rPr>
              <w:t>100</w:t>
            </w:r>
          </w:p>
        </w:tc>
      </w:tr>
    </w:tbl>
    <w:p>
      <w:pPr>
        <w:pStyle w:val="20"/>
        <w:numPr>
          <w:ilvl w:val="0"/>
          <w:numId w:val="0"/>
        </w:numPr>
        <w:spacing w:beforeLines="100" w:afterLines="50" w:line="360" w:lineRule="auto"/>
        <w:ind w:left="879"/>
        <w:jc w:val="both"/>
        <w:rPr>
          <w:rFonts w:ascii="Tahoma" w:hAnsi="Tahoma" w:cs="Tahoma"/>
          <w:b w:val="0"/>
          <w:sz w:val="22"/>
          <w:szCs w:val="22"/>
        </w:rPr>
      </w:pPr>
      <w:r>
        <w:rPr>
          <w:rFonts w:ascii="Tahoma" w:hAnsi="Tahoma" w:cs="Tahoma"/>
          <w:b w:val="0"/>
          <w:bCs w:val="0"/>
          <w:color w:val="000000"/>
          <w:sz w:val="22"/>
          <w:szCs w:val="22"/>
          <w:lang w:val="id-ID"/>
        </w:rPr>
        <w:t xml:space="preserve">Opini BPK disamping indikator kinerja Pemerintah Daerah juga merupakan indikator </w:t>
      </w:r>
      <w:r>
        <w:rPr>
          <w:rFonts w:ascii="Tahoma" w:hAnsi="Tahoma" w:cs="Tahoma"/>
          <w:b w:val="0"/>
          <w:bCs w:val="0"/>
          <w:color w:val="000000"/>
          <w:sz w:val="22"/>
          <w:szCs w:val="22"/>
        </w:rPr>
        <w:t>k</w:t>
      </w:r>
      <w:r>
        <w:rPr>
          <w:rFonts w:ascii="Tahoma" w:hAnsi="Tahoma" w:cs="Tahoma"/>
          <w:b w:val="0"/>
          <w:bCs w:val="0"/>
          <w:color w:val="000000"/>
          <w:sz w:val="22"/>
          <w:szCs w:val="22"/>
          <w:lang w:val="id-ID"/>
        </w:rPr>
        <w:t xml:space="preserve">inerja </w:t>
      </w:r>
      <w:r>
        <w:rPr>
          <w:rFonts w:ascii="Tahoma" w:hAnsi="Tahoma" w:cs="Tahoma"/>
          <w:b w:val="0"/>
          <w:bCs w:val="0"/>
          <w:color w:val="000000"/>
          <w:sz w:val="22"/>
          <w:szCs w:val="22"/>
        </w:rPr>
        <w:t>Badan Keuangan Daerah</w:t>
      </w:r>
      <w:r>
        <w:rPr>
          <w:rFonts w:ascii="Tahoma" w:hAnsi="Tahoma" w:cs="Tahoma"/>
          <w:b w:val="0"/>
          <w:bCs w:val="0"/>
          <w:color w:val="000000"/>
          <w:sz w:val="22"/>
          <w:szCs w:val="22"/>
          <w:lang w:val="id-ID"/>
        </w:rPr>
        <w:t xml:space="preserve">, karena ini merupakan salah satu indikator dari </w:t>
      </w:r>
      <w:r>
        <w:rPr>
          <w:rFonts w:ascii="Tahoma" w:hAnsi="Tahoma" w:cs="Tahoma"/>
          <w:b w:val="0"/>
          <w:bCs w:val="0"/>
          <w:color w:val="000000"/>
          <w:sz w:val="22"/>
          <w:szCs w:val="22"/>
        </w:rPr>
        <w:t>s</w:t>
      </w:r>
      <w:r>
        <w:rPr>
          <w:rFonts w:ascii="Tahoma" w:hAnsi="Tahoma" w:cs="Tahoma"/>
          <w:b w:val="0"/>
          <w:bCs w:val="0"/>
          <w:color w:val="000000"/>
          <w:sz w:val="22"/>
          <w:szCs w:val="22"/>
          <w:lang w:val="id-ID"/>
        </w:rPr>
        <w:t xml:space="preserve">asaran strategis yaitu meningkatnya kualitas pengelolaan keuangan daerah. Pada tahun 2012, 2013, 2014, 2015, 2016, 2017, dan 2018 realisasi </w:t>
      </w:r>
      <w:r>
        <w:rPr>
          <w:rFonts w:ascii="Tahoma" w:hAnsi="Tahoma" w:cs="Tahoma"/>
          <w:b w:val="0"/>
          <w:bCs w:val="0"/>
          <w:color w:val="000000"/>
          <w:sz w:val="22"/>
          <w:szCs w:val="22"/>
        </w:rPr>
        <w:t>i</w:t>
      </w:r>
      <w:r>
        <w:rPr>
          <w:rFonts w:ascii="Tahoma" w:hAnsi="Tahoma" w:cs="Tahoma"/>
          <w:b w:val="0"/>
          <w:bCs w:val="0"/>
          <w:color w:val="000000"/>
          <w:sz w:val="22"/>
          <w:szCs w:val="22"/>
          <w:lang w:val="id-ID"/>
        </w:rPr>
        <w:t xml:space="preserve">ndikator </w:t>
      </w:r>
      <w:r>
        <w:rPr>
          <w:rFonts w:ascii="Tahoma" w:hAnsi="Tahoma" w:cs="Tahoma"/>
          <w:b w:val="0"/>
          <w:bCs w:val="0"/>
          <w:color w:val="000000"/>
          <w:sz w:val="22"/>
          <w:szCs w:val="22"/>
        </w:rPr>
        <w:t>k</w:t>
      </w:r>
      <w:r>
        <w:rPr>
          <w:rFonts w:ascii="Tahoma" w:hAnsi="Tahoma" w:cs="Tahoma"/>
          <w:b w:val="0"/>
          <w:bCs w:val="0"/>
          <w:color w:val="000000"/>
          <w:sz w:val="22"/>
          <w:szCs w:val="22"/>
          <w:lang w:val="id-ID"/>
        </w:rPr>
        <w:t xml:space="preserve">inerjanya WTP dengan capaian 100%. </w:t>
      </w:r>
      <w:r>
        <w:rPr>
          <w:rFonts w:ascii="Tahoma" w:hAnsi="Tahoma" w:cs="Tahoma"/>
          <w:b w:val="0"/>
          <w:sz w:val="22"/>
          <w:szCs w:val="22"/>
        </w:rPr>
        <w:t xml:space="preserve">Pada tahun 2018 Pemerintah Sumatera Barat juga mendapatkan penghargaan dari Pemerintah Pusat yang mana penghargaan itu didapat karena Pemerintah Provinsi Sumatera Barat telah berhasil mempertahankan opini WTP </w:t>
      </w:r>
      <w:r>
        <w:rPr>
          <w:rFonts w:ascii="Tahoma" w:hAnsi="Tahoma" w:cs="Tahoma"/>
          <w:b w:val="0"/>
          <w:sz w:val="22"/>
          <w:szCs w:val="22"/>
          <w:lang w:val="id-ID"/>
        </w:rPr>
        <w:t>6</w:t>
      </w:r>
      <w:r>
        <w:rPr>
          <w:rFonts w:ascii="Tahoma" w:hAnsi="Tahoma" w:cs="Tahoma"/>
          <w:b w:val="0"/>
          <w:sz w:val="22"/>
          <w:szCs w:val="22"/>
        </w:rPr>
        <w:t xml:space="preserve"> kali berturut turut. Di Indonesia didapat oleh 8 (delapan) Provinsi, yaitu Prov. Sumbar, Prov. Kep.Riau, Prov. Jabar, DI.Yogyakarta, Prov. NTB, Prov. Kalsel, Prov. Sulteng dan Prov. Gorontalo. Penghargaan tersebut diserahkan bertepatan dengan Rapat Kerja Nasional ( Rakernas) Akuntasi dan Pelaporan Keuangan Pemerintah Tahun 2018 p</w:t>
      </w:r>
      <w:r>
        <w:rPr>
          <w:rFonts w:ascii="Tahoma" w:hAnsi="Tahoma" w:cs="Tahoma"/>
          <w:b w:val="0"/>
          <w:sz w:val="22"/>
          <w:szCs w:val="22"/>
          <w:lang w:val="id-ID"/>
        </w:rPr>
        <w:t>a</w:t>
      </w:r>
      <w:r>
        <w:rPr>
          <w:rFonts w:ascii="Tahoma" w:hAnsi="Tahoma" w:cs="Tahoma"/>
          <w:b w:val="0"/>
          <w:sz w:val="22"/>
          <w:szCs w:val="22"/>
        </w:rPr>
        <w:t>d</w:t>
      </w:r>
      <w:r>
        <w:rPr>
          <w:rFonts w:ascii="Tahoma" w:hAnsi="Tahoma" w:cs="Tahoma"/>
          <w:b w:val="0"/>
          <w:sz w:val="22"/>
          <w:szCs w:val="22"/>
          <w:lang w:val="id-ID"/>
        </w:rPr>
        <w:t>a</w:t>
      </w:r>
      <w:r>
        <w:rPr>
          <w:rFonts w:ascii="Tahoma" w:hAnsi="Tahoma" w:cs="Tahoma"/>
          <w:b w:val="0"/>
          <w:sz w:val="22"/>
          <w:szCs w:val="22"/>
        </w:rPr>
        <w:t xml:space="preserve"> tanggal 20 September 2018 di Gedung Dhanapala Kementerian Keuangan Republik Indonesia. </w:t>
      </w:r>
    </w:p>
    <w:p>
      <w:pPr>
        <w:pStyle w:val="20"/>
        <w:numPr>
          <w:ilvl w:val="0"/>
          <w:numId w:val="0"/>
        </w:numPr>
        <w:spacing w:afterLines="50"/>
        <w:ind w:left="879"/>
        <w:rPr>
          <w:rFonts w:ascii="Tahoma" w:hAnsi="Tahoma" w:cs="Tahoma"/>
          <w:bCs w:val="0"/>
          <w:sz w:val="22"/>
          <w:szCs w:val="22"/>
        </w:rPr>
      </w:pPr>
      <w:r>
        <w:rPr>
          <w:rFonts w:ascii="Tahoma" w:hAnsi="Tahoma" w:cs="Tahoma"/>
          <w:bCs w:val="0"/>
          <w:sz w:val="22"/>
          <w:szCs w:val="22"/>
        </w:rPr>
        <w:t>Gambar 3.1.</w:t>
      </w:r>
    </w:p>
    <w:p>
      <w:pPr>
        <w:pStyle w:val="20"/>
        <w:numPr>
          <w:ilvl w:val="0"/>
          <w:numId w:val="0"/>
        </w:numPr>
        <w:spacing w:afterLines="100"/>
        <w:ind w:left="879"/>
        <w:rPr>
          <w:rFonts w:ascii="Tahoma" w:hAnsi="Tahoma" w:cs="Tahoma"/>
          <w:b w:val="0"/>
          <w:sz w:val="22"/>
          <w:szCs w:val="22"/>
        </w:rPr>
      </w:pPr>
      <w:r>
        <w:rPr>
          <w:rFonts w:ascii="Tahoma" w:hAnsi="Tahoma" w:cs="Tahoma"/>
          <w:bCs w:val="0"/>
          <w:sz w:val="22"/>
          <w:szCs w:val="22"/>
        </w:rPr>
        <w:t>Penghargaan Pemerintah RI kepada Pemerintah Provinsi Sumatera Barat atas Capaian Opini WTP Lima Tahun Berturut-turut (2013-2017)</w:t>
      </w:r>
    </w:p>
    <w:p>
      <w:pPr>
        <w:pStyle w:val="30"/>
        <w:spacing w:after="0" w:line="360" w:lineRule="auto"/>
        <w:ind w:left="2640"/>
        <w:jc w:val="both"/>
        <w:rPr>
          <w:rFonts w:cs="Calibri"/>
          <w:sz w:val="24"/>
          <w:szCs w:val="24"/>
          <w:lang w:val="id-ID" w:eastAsia="id-ID"/>
        </w:rPr>
      </w:pPr>
      <w:r>
        <w:rPr>
          <w:rFonts w:cs="Calibri"/>
          <w:sz w:val="24"/>
          <w:szCs w:val="24"/>
          <w:lang w:val="id-ID" w:eastAsia="id-ID"/>
        </w:rPr>
        <w:drawing>
          <wp:inline distT="0" distB="0" distL="0" distR="0">
            <wp:extent cx="3390265" cy="4261485"/>
            <wp:effectExtent l="0" t="0" r="635" b="5715"/>
            <wp:docPr id="5" name="Picture 3" descr="P_20180924_10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P_20180924_104159"/>
                    <pic:cNvPicPr>
                      <a:picLocks noChangeAspect="1" noChangeArrowheads="1"/>
                    </pic:cNvPicPr>
                  </pic:nvPicPr>
                  <pic:blipFill>
                    <a:blip r:embed="rId27" cstate="print"/>
                    <a:srcRect/>
                    <a:stretch>
                      <a:fillRect/>
                    </a:stretch>
                  </pic:blipFill>
                  <pic:spPr>
                    <a:xfrm>
                      <a:off x="0" y="0"/>
                      <a:ext cx="3390265" cy="4261485"/>
                    </a:xfrm>
                    <a:prstGeom prst="rect">
                      <a:avLst/>
                    </a:prstGeom>
                    <a:noFill/>
                    <a:ln w="9525">
                      <a:noFill/>
                      <a:miter lim="800000"/>
                      <a:headEnd/>
                      <a:tailEnd/>
                    </a:ln>
                  </pic:spPr>
                </pic:pic>
              </a:graphicData>
            </a:graphic>
          </wp:inline>
        </w:drawing>
      </w:r>
    </w:p>
    <w:p>
      <w:pPr>
        <w:spacing w:afterLines="50" w:line="360" w:lineRule="auto"/>
        <w:ind w:left="878" w:leftChars="399"/>
        <w:jc w:val="both"/>
        <w:rPr>
          <w:rFonts w:ascii="Tahoma" w:hAnsi="Tahoma" w:cs="Tahoma"/>
          <w:lang w:val="id-ID"/>
        </w:rPr>
      </w:pPr>
      <w:r>
        <w:rPr>
          <w:rFonts w:ascii="Tahoma" w:hAnsi="Tahoma" w:cs="Tahoma"/>
          <w:lang w:val="id-ID"/>
        </w:rPr>
        <w:t xml:space="preserve">Pada tanggal 3 November 2019 Pemerintah </w:t>
      </w:r>
      <w:r>
        <w:rPr>
          <w:rFonts w:ascii="Tahoma" w:hAnsi="Tahoma" w:cs="Tahoma"/>
        </w:rPr>
        <w:t>P</w:t>
      </w:r>
      <w:r>
        <w:rPr>
          <w:rFonts w:ascii="Tahoma" w:hAnsi="Tahoma" w:cs="Tahoma"/>
          <w:lang w:val="id-ID"/>
        </w:rPr>
        <w:t xml:space="preserve">rovinsi Sumatera Barat juga mendapat penghargaan dari Indonesia </w:t>
      </w:r>
      <w:r>
        <w:rPr>
          <w:rFonts w:ascii="Tahoma" w:hAnsi="Tahoma" w:cs="Tahoma"/>
        </w:rPr>
        <w:t>A</w:t>
      </w:r>
      <w:r>
        <w:rPr>
          <w:rFonts w:ascii="Tahoma" w:hAnsi="Tahoma" w:cs="Tahoma"/>
          <w:lang w:val="id-ID"/>
        </w:rPr>
        <w:t>w</w:t>
      </w:r>
      <w:r>
        <w:rPr>
          <w:rFonts w:ascii="Tahoma" w:hAnsi="Tahoma" w:cs="Tahoma"/>
        </w:rPr>
        <w:t>a</w:t>
      </w:r>
      <w:r>
        <w:rPr>
          <w:rFonts w:ascii="Tahoma" w:hAnsi="Tahoma" w:cs="Tahoma"/>
          <w:lang w:val="id-ID"/>
        </w:rPr>
        <w:t>rd 2019 Tata Pengelolaan Ke</w:t>
      </w:r>
      <w:r>
        <w:rPr>
          <w:rFonts w:ascii="Tahoma" w:hAnsi="Tahoma" w:cs="Tahoma"/>
        </w:rPr>
        <w:t>uangan</w:t>
      </w:r>
      <w:r>
        <w:rPr>
          <w:rFonts w:ascii="Tahoma" w:hAnsi="Tahoma" w:cs="Tahoma"/>
          <w:lang w:val="id-ID"/>
        </w:rPr>
        <w:t xml:space="preserve"> Daerah </w:t>
      </w:r>
      <w:r>
        <w:rPr>
          <w:rFonts w:ascii="Tahoma" w:hAnsi="Tahoma" w:cs="Tahoma"/>
        </w:rPr>
        <w:t>T</w:t>
      </w:r>
      <w:r>
        <w:rPr>
          <w:rFonts w:ascii="Tahoma" w:hAnsi="Tahoma" w:cs="Tahoma"/>
          <w:lang w:val="id-ID"/>
        </w:rPr>
        <w:t xml:space="preserve">erbaik di Jakarta. Disamping itu Pemerintah Provinsi Sumatera Barat menerima penghargaan dari media GATRA kategori Opimalisasi </w:t>
      </w:r>
      <w:r>
        <w:rPr>
          <w:rFonts w:ascii="Tahoma" w:hAnsi="Tahoma" w:cs="Tahoma"/>
        </w:rPr>
        <w:t>A</w:t>
      </w:r>
      <w:r>
        <w:rPr>
          <w:rFonts w:ascii="Tahoma" w:hAnsi="Tahoma" w:cs="Tahoma"/>
          <w:lang w:val="id-ID"/>
        </w:rPr>
        <w:t xml:space="preserve">nggaran. Penghargaan tersebut diserahkan langsung oleh Direktur Utama </w:t>
      </w:r>
      <w:r>
        <w:rPr>
          <w:rFonts w:ascii="Tahoma" w:hAnsi="Tahoma" w:cs="Tahoma"/>
        </w:rPr>
        <w:t>M</w:t>
      </w:r>
      <w:r>
        <w:rPr>
          <w:rFonts w:ascii="Tahoma" w:hAnsi="Tahoma" w:cs="Tahoma"/>
          <w:lang w:val="id-ID"/>
        </w:rPr>
        <w:t xml:space="preserve">edia Group, Hendri Firzani kepada Gubernur Irwan Prayitno di Bogor tanggal 1 </w:t>
      </w:r>
      <w:r>
        <w:rPr>
          <w:rFonts w:ascii="Tahoma" w:hAnsi="Tahoma" w:cs="Tahoma"/>
        </w:rPr>
        <w:t>Desember</w:t>
      </w:r>
      <w:r>
        <w:rPr>
          <w:rFonts w:ascii="Tahoma" w:hAnsi="Tahoma" w:cs="Tahoma"/>
          <w:lang w:val="id-ID"/>
        </w:rPr>
        <w:t xml:space="preserve"> 2019.</w:t>
      </w:r>
    </w:p>
    <w:p>
      <w:pPr>
        <w:spacing w:after="0" w:line="360" w:lineRule="auto"/>
        <w:ind w:left="878" w:leftChars="399"/>
        <w:jc w:val="both"/>
        <w:rPr>
          <w:rFonts w:ascii="Tahoma" w:hAnsi="Tahoma" w:cs="Tahoma"/>
        </w:rPr>
      </w:pPr>
      <w:r>
        <w:rPr>
          <w:rFonts w:ascii="Tahoma" w:hAnsi="Tahoma" w:cs="Tahoma"/>
        </w:rPr>
        <w:t>Untuk mencapai opini WTP, seluruh SKPD mempunyai peranan penting</w:t>
      </w:r>
      <w:r>
        <w:rPr>
          <w:rFonts w:ascii="Tahoma" w:hAnsi="Tahoma" w:cs="Tahoma"/>
          <w:lang w:val="id-ID"/>
        </w:rPr>
        <w:t>, dimana</w:t>
      </w:r>
      <w:r>
        <w:rPr>
          <w:rFonts w:ascii="Tahoma" w:hAnsi="Tahoma" w:cs="Tahoma"/>
        </w:rPr>
        <w:t xml:space="preserve"> dengan tiga SKPD yang menjadi penanggungjawabnya yaitu Badan Keuangan Daerah, Biro AP2BMD, dan Inspektorat. BPK melaksanakan pemeriksaan atas pengelolaan dan tanggung jawab keuangan negara, yang meliputi pemeriksaan keuangan,pemeriksaan kinerja dan pemeriksaan dengan tujuan tertentu. Pemeriksaan Keuangan adalah pemeriksaan atas laporan keuangan yang terdiri dari 7 (tujuh) laporan yaitu Laporan Realisasi Anggaran, Laporan Perubahan Saldo Anggaran Lebih, Laporan Arus Kas, Laporan Operasional, Laporan Perubahan Ekuitas, Neraca dan Catatan Atas Laporan Keuangan. Laporan hasil pemeriksaan atas laporan keuangan pemerintah daerah memuat opini BPK. Opini BPK merupakan pernyataan  profesional pemeriksa mengenai kewajaran informasi keuangan yang disajikan dalam laporan keuangan yang didasarkan pada 4 (empat) kriteria yakni :</w:t>
      </w:r>
    </w:p>
    <w:p>
      <w:pPr>
        <w:pStyle w:val="30"/>
        <w:numPr>
          <w:ilvl w:val="0"/>
          <w:numId w:val="29"/>
        </w:numPr>
        <w:spacing w:after="0" w:line="360" w:lineRule="auto"/>
        <w:ind w:left="1315" w:leftChars="400" w:hanging="435" w:hangingChars="198"/>
        <w:jc w:val="both"/>
        <w:rPr>
          <w:rFonts w:ascii="Tahoma" w:hAnsi="Tahoma" w:cs="Tahoma"/>
        </w:rPr>
      </w:pPr>
      <w:r>
        <w:rPr>
          <w:rFonts w:ascii="Tahoma" w:hAnsi="Tahoma" w:cs="Tahoma"/>
        </w:rPr>
        <w:t>Kesesuaian dengan standar akuntansi pemerintah</w:t>
      </w:r>
    </w:p>
    <w:p>
      <w:pPr>
        <w:pStyle w:val="30"/>
        <w:numPr>
          <w:ilvl w:val="0"/>
          <w:numId w:val="29"/>
        </w:numPr>
        <w:spacing w:line="360" w:lineRule="auto"/>
        <w:ind w:left="1315" w:leftChars="400" w:hanging="435" w:hangingChars="198"/>
        <w:jc w:val="both"/>
        <w:rPr>
          <w:rFonts w:ascii="Tahoma" w:hAnsi="Tahoma" w:cs="Tahoma"/>
        </w:rPr>
      </w:pPr>
      <w:r>
        <w:rPr>
          <w:rFonts w:ascii="Tahoma" w:hAnsi="Tahoma" w:cs="Tahoma"/>
        </w:rPr>
        <w:t>Kecukupan pengungkapan</w:t>
      </w:r>
    </w:p>
    <w:p>
      <w:pPr>
        <w:pStyle w:val="30"/>
        <w:numPr>
          <w:ilvl w:val="0"/>
          <w:numId w:val="29"/>
        </w:numPr>
        <w:spacing w:line="360" w:lineRule="auto"/>
        <w:ind w:left="1315" w:leftChars="400" w:hanging="435" w:hangingChars="198"/>
        <w:jc w:val="both"/>
        <w:rPr>
          <w:rFonts w:ascii="Tahoma" w:hAnsi="Tahoma" w:cs="Tahoma"/>
        </w:rPr>
      </w:pPr>
      <w:r>
        <w:rPr>
          <w:rFonts w:ascii="Tahoma" w:hAnsi="Tahoma" w:cs="Tahoma"/>
        </w:rPr>
        <w:t>Kepatuhan terhadap peraturan perundang-undangan</w:t>
      </w:r>
    </w:p>
    <w:p>
      <w:pPr>
        <w:pStyle w:val="30"/>
        <w:numPr>
          <w:ilvl w:val="0"/>
          <w:numId w:val="29"/>
        </w:numPr>
        <w:spacing w:line="360" w:lineRule="auto"/>
        <w:ind w:left="1315" w:leftChars="400" w:hanging="435" w:hangingChars="198"/>
        <w:jc w:val="both"/>
        <w:rPr>
          <w:rFonts w:ascii="Tahoma" w:hAnsi="Tahoma" w:cs="Tahoma"/>
        </w:rPr>
      </w:pPr>
      <w:r>
        <w:rPr>
          <w:rFonts w:ascii="Tahoma" w:hAnsi="Tahoma" w:cs="Tahoma"/>
        </w:rPr>
        <w:t>Dan efektifitas sistem pengendalian intern.</w:t>
      </w:r>
    </w:p>
    <w:p>
      <w:pPr>
        <w:spacing w:after="0" w:line="360" w:lineRule="auto"/>
        <w:ind w:left="880" w:leftChars="400"/>
        <w:jc w:val="both"/>
        <w:rPr>
          <w:rFonts w:ascii="Tahoma" w:hAnsi="Tahoma" w:cs="Tahoma"/>
        </w:rPr>
      </w:pPr>
      <w:r>
        <w:rPr>
          <w:rFonts w:ascii="Tahoma" w:hAnsi="Tahoma" w:cs="Tahoma"/>
        </w:rPr>
        <w:t>Pada tahun 20</w:t>
      </w:r>
      <w:r>
        <w:rPr>
          <w:rFonts w:ascii="Tahoma" w:hAnsi="Tahoma" w:cs="Tahoma"/>
          <w:lang w:val="id-ID"/>
        </w:rPr>
        <w:t>20</w:t>
      </w:r>
      <w:r>
        <w:rPr>
          <w:rFonts w:ascii="Tahoma" w:hAnsi="Tahoma" w:cs="Tahoma"/>
        </w:rPr>
        <w:t>, BPK telah menerbitkan Laporan Hasil Pemeriksaan Keuangan atas Laporan Keuangan Pemda Provinsi Sumatera Barat Tahun 201</w:t>
      </w:r>
      <w:r>
        <w:rPr>
          <w:rFonts w:ascii="Tahoma" w:hAnsi="Tahoma" w:cs="Tahoma"/>
          <w:lang w:val="id-ID"/>
        </w:rPr>
        <w:t>9</w:t>
      </w:r>
      <w:r>
        <w:rPr>
          <w:rFonts w:ascii="Tahoma" w:hAnsi="Tahoma" w:cs="Tahoma"/>
        </w:rPr>
        <w:t xml:space="preserve"> yang memuat opini Wajar Tanpa Pengecualian. Opini Wajar Tanpa Pengecualian tersebut sudah sesuai dengan target yang ditetapkan dan merupakan pencapaian untuk ke</w:t>
      </w:r>
      <w:r>
        <w:rPr>
          <w:rFonts w:ascii="Tahoma" w:hAnsi="Tahoma" w:cs="Tahoma"/>
          <w:lang w:val="id-ID"/>
        </w:rPr>
        <w:t>delapan</w:t>
      </w:r>
      <w:r>
        <w:rPr>
          <w:rFonts w:ascii="Tahoma" w:hAnsi="Tahoma" w:cs="Tahoma"/>
        </w:rPr>
        <w:t xml:space="preserve"> kalinya sejak laporan keuangan tahun 2012.Keberhasilan Pemda Sumatera Barat dalam mempertahankan opini Wajar Tanpa Pengecualian tersebut didukung dengan faktor-faktor sebagai berikut :</w:t>
      </w:r>
    </w:p>
    <w:p>
      <w:pPr>
        <w:pStyle w:val="30"/>
        <w:numPr>
          <w:ilvl w:val="0"/>
          <w:numId w:val="30"/>
        </w:numPr>
        <w:spacing w:line="360" w:lineRule="auto"/>
        <w:ind w:left="1315" w:leftChars="400" w:hanging="435" w:hangingChars="198"/>
        <w:jc w:val="both"/>
        <w:rPr>
          <w:rFonts w:ascii="Tahoma" w:hAnsi="Tahoma" w:cs="Tahoma"/>
        </w:rPr>
      </w:pPr>
      <w:r>
        <w:rPr>
          <w:rFonts w:ascii="Tahoma" w:hAnsi="Tahoma" w:cs="Tahoma"/>
        </w:rPr>
        <w:t>Adanya penyesuaian regulasi pengelolaan keuangan daerah dan kebijakan akuntansi karena adanya perubahan regulasi yang dilakukan oleh pemerintah.</w:t>
      </w:r>
    </w:p>
    <w:p>
      <w:pPr>
        <w:pStyle w:val="30"/>
        <w:numPr>
          <w:ilvl w:val="0"/>
          <w:numId w:val="30"/>
        </w:numPr>
        <w:spacing w:line="360" w:lineRule="auto"/>
        <w:ind w:left="1315" w:leftChars="400" w:hanging="435" w:hangingChars="198"/>
        <w:jc w:val="both"/>
        <w:rPr>
          <w:rFonts w:ascii="Tahoma" w:hAnsi="Tahoma" w:cs="Tahoma"/>
        </w:rPr>
      </w:pPr>
      <w:r>
        <w:rPr>
          <w:rFonts w:ascii="Tahoma" w:hAnsi="Tahoma" w:cs="Tahoma"/>
        </w:rPr>
        <w:t>Adanya upaya-upaya peningkatan kualitas sumber daya manusia secara berkelanjutan yang berdampak pada peningkatan kualitas perencanaan, penganggaran, penatausahaan, dan pelaporan keuangan.</w:t>
      </w:r>
    </w:p>
    <w:p>
      <w:pPr>
        <w:pStyle w:val="30"/>
        <w:numPr>
          <w:ilvl w:val="0"/>
          <w:numId w:val="30"/>
        </w:numPr>
        <w:spacing w:line="360" w:lineRule="auto"/>
        <w:ind w:left="1315" w:leftChars="400" w:hanging="435" w:hangingChars="198"/>
        <w:jc w:val="both"/>
        <w:rPr>
          <w:rFonts w:ascii="Tahoma" w:hAnsi="Tahoma" w:cs="Tahoma"/>
        </w:rPr>
      </w:pPr>
      <w:r>
        <w:rPr>
          <w:rFonts w:ascii="Tahoma" w:hAnsi="Tahoma" w:cs="Tahoma"/>
        </w:rPr>
        <w:t>Adanya dukungan aplikasi yang terintegrasi sejak penganggaran, penatausahaan, dan pertanggungjawaban yang semakin baik sehingga laporan dapat diselesaikan tepat waktu dan meminimalkan terjadi kesalahan-kesalahan baik pada tahap penganggaran, penatausahaan, dan pertanggungjawaban.</w:t>
      </w:r>
    </w:p>
    <w:p>
      <w:pPr>
        <w:pStyle w:val="30"/>
        <w:numPr>
          <w:ilvl w:val="0"/>
          <w:numId w:val="30"/>
        </w:numPr>
        <w:spacing w:line="360" w:lineRule="auto"/>
        <w:ind w:left="1315" w:leftChars="400" w:hanging="435" w:hangingChars="198"/>
        <w:jc w:val="both"/>
        <w:rPr>
          <w:rFonts w:ascii="Tahoma" w:hAnsi="Tahoma" w:cs="Tahoma"/>
        </w:rPr>
      </w:pPr>
      <w:r>
        <w:rPr>
          <w:rFonts w:ascii="Tahoma" w:hAnsi="Tahoma" w:cs="Tahoma"/>
        </w:rPr>
        <w:t>Peningkatan peran Aparat Pengawasan Intern (APIP) dalam pelaksanaan pengendalian internal pemerintah daerah.</w:t>
      </w:r>
    </w:p>
    <w:p>
      <w:pPr>
        <w:pStyle w:val="30"/>
        <w:spacing w:line="360" w:lineRule="auto"/>
        <w:ind w:left="1118"/>
        <w:jc w:val="both"/>
        <w:rPr>
          <w:rFonts w:ascii="Tahoma" w:hAnsi="Tahoma" w:cs="Tahoma"/>
        </w:rPr>
      </w:pPr>
    </w:p>
    <w:p>
      <w:pPr>
        <w:pStyle w:val="30"/>
        <w:spacing w:beforeLines="150" w:after="120" w:line="360" w:lineRule="auto"/>
        <w:ind w:left="880"/>
        <w:jc w:val="both"/>
        <w:rPr>
          <w:rFonts w:ascii="Tahoma" w:hAnsi="Tahoma" w:cs="Tahoma"/>
        </w:rPr>
      </w:pPr>
      <w:r>
        <w:rPr>
          <w:rFonts w:ascii="Tahoma" w:hAnsi="Tahoma" w:cs="Tahoma"/>
        </w:rPr>
        <w:t>Upaya yang dilakukan Pemerintah Provinsi Sumatera Barat melalui Badan Keuangan Daerah untuk mempertahankan Opini BPK   adalah:</w:t>
      </w:r>
    </w:p>
    <w:p>
      <w:pPr>
        <w:pStyle w:val="30"/>
        <w:spacing w:line="240" w:lineRule="auto"/>
        <w:ind w:left="642" w:leftChars="292"/>
        <w:jc w:val="both"/>
        <w:rPr>
          <w:rFonts w:ascii="Tahoma" w:hAnsi="Tahoma" w:cs="Tahoma"/>
        </w:rPr>
      </w:pPr>
    </w:p>
    <w:p>
      <w:pPr>
        <w:pStyle w:val="30"/>
        <w:numPr>
          <w:ilvl w:val="0"/>
          <w:numId w:val="31"/>
        </w:numPr>
        <w:tabs>
          <w:tab w:val="clear" w:pos="425"/>
        </w:tabs>
        <w:spacing w:before="100" w:beforeAutospacing="1" w:after="0" w:line="360" w:lineRule="auto"/>
        <w:ind w:left="1320" w:leftChars="400" w:hanging="440" w:hangingChars="200"/>
        <w:jc w:val="both"/>
        <w:rPr>
          <w:rFonts w:ascii="Tahoma" w:hAnsi="Tahoma" w:cs="Tahoma" w:eastAsiaTheme="minorEastAsia"/>
        </w:rPr>
      </w:pPr>
      <w:r>
        <w:rPr>
          <w:rFonts w:ascii="Tahoma" w:hAnsi="Tahoma" w:cs="Tahoma"/>
        </w:rPr>
        <w:t>U</w:t>
      </w:r>
      <w:r>
        <w:rPr>
          <w:rFonts w:ascii="Tahoma" w:hAnsi="Tahoma" w:cs="Tahoma" w:eastAsiaTheme="minorEastAsia"/>
        </w:rPr>
        <w:t xml:space="preserve">ntuk validnya data/angka dalam Laporan Keuangan PemerintahProvinsi Sumatera Barat yaitu Angka Realisasi Pendapatan, Angka Realisasi Belanja, Angka Realisasi Pembiayaan, maka dilakukan sebagai berikut: </w:t>
      </w:r>
    </w:p>
    <w:p>
      <w:pPr>
        <w:pStyle w:val="30"/>
        <w:spacing w:after="0" w:line="360" w:lineRule="auto"/>
        <w:ind w:left="1760" w:leftChars="600" w:hanging="440" w:hangingChars="200"/>
        <w:jc w:val="both"/>
        <w:rPr>
          <w:rFonts w:ascii="Tahoma" w:hAnsi="Tahoma" w:cs="Tahoma" w:eastAsiaTheme="minorEastAsia"/>
        </w:rPr>
      </w:pPr>
      <w:r>
        <w:rPr>
          <w:rFonts w:ascii="Tahoma" w:hAnsi="Tahoma" w:cs="Tahoma" w:eastAsiaTheme="minorEastAsia"/>
        </w:rPr>
        <w:t>-</w:t>
      </w:r>
      <w:r>
        <w:rPr>
          <w:rFonts w:ascii="Tahoma" w:hAnsi="Tahoma" w:cs="Tahoma" w:eastAsiaTheme="minorEastAsia"/>
        </w:rPr>
        <w:tab/>
      </w:r>
      <w:r>
        <w:rPr>
          <w:rFonts w:ascii="Tahoma" w:hAnsi="Tahoma" w:cs="Tahoma" w:eastAsiaTheme="minorEastAsia"/>
        </w:rPr>
        <w:t>Rekonsiliasi pendapatan dan belanja (LRA) Pemda setiap bulannya antara Bidang Akuntansi dan Pelaporan dengan Bidang</w:t>
      </w:r>
      <w:r>
        <w:rPr>
          <w:rFonts w:hint="default" w:ascii="Tahoma" w:hAnsi="Tahoma" w:cs="Tahoma" w:eastAsiaTheme="minorEastAsia"/>
          <w:lang w:val="en-US"/>
        </w:rPr>
        <w:t xml:space="preserve"> </w:t>
      </w:r>
      <w:r>
        <w:rPr>
          <w:rFonts w:ascii="Tahoma" w:hAnsi="Tahoma" w:cs="Tahoma" w:eastAsiaTheme="minorEastAsia"/>
        </w:rPr>
        <w:t>Perbendaharaan (selaku Bendahara Umum Daerah);</w:t>
      </w:r>
    </w:p>
    <w:p>
      <w:pPr>
        <w:pStyle w:val="30"/>
        <w:spacing w:after="0" w:line="360" w:lineRule="auto"/>
        <w:ind w:left="1760" w:leftChars="600" w:hanging="440" w:hangingChars="200"/>
        <w:jc w:val="both"/>
        <w:rPr>
          <w:rFonts w:ascii="Tahoma" w:hAnsi="Tahoma" w:cs="Tahoma" w:eastAsiaTheme="minorEastAsia"/>
        </w:rPr>
      </w:pPr>
      <w:r>
        <w:rPr>
          <w:rFonts w:ascii="Tahoma" w:hAnsi="Tahoma" w:cs="Tahoma" w:eastAsiaTheme="minorEastAsia"/>
        </w:rPr>
        <w:t xml:space="preserve">- </w:t>
      </w:r>
      <w:r>
        <w:rPr>
          <w:rFonts w:hint="default" w:ascii="Tahoma" w:hAnsi="Tahoma" w:cs="Tahoma" w:eastAsiaTheme="minorEastAsia"/>
          <w:lang w:val="en-US"/>
        </w:rPr>
        <w:t xml:space="preserve"> </w:t>
      </w:r>
      <w:r>
        <w:rPr>
          <w:rFonts w:hint="default" w:ascii="Tahoma" w:hAnsi="Tahoma" w:cs="Tahoma" w:eastAsiaTheme="minorEastAsia"/>
          <w:lang w:val="en-US"/>
        </w:rPr>
        <w:tab/>
      </w:r>
      <w:r>
        <w:rPr>
          <w:rFonts w:ascii="Tahoma" w:hAnsi="Tahoma" w:cs="Tahoma" w:eastAsiaTheme="minorEastAsia"/>
        </w:rPr>
        <w:t>Rekonsiliasi atas pemungutan perhitungan Pihak Ketiga pada belanja pegawai dengan BPJS Kesehatan dan PT. Taspen;</w:t>
      </w:r>
    </w:p>
    <w:p>
      <w:pPr>
        <w:pStyle w:val="30"/>
        <w:spacing w:after="0" w:line="360" w:lineRule="auto"/>
        <w:ind w:left="1760" w:leftChars="600" w:hanging="440" w:hangingChars="200"/>
        <w:jc w:val="both"/>
        <w:rPr>
          <w:rFonts w:ascii="Tahoma" w:hAnsi="Tahoma" w:cs="Tahoma" w:eastAsiaTheme="minorEastAsia"/>
        </w:rPr>
      </w:pPr>
      <w:r>
        <w:rPr>
          <w:rFonts w:ascii="Tahoma" w:hAnsi="Tahoma" w:cs="Tahoma" w:eastAsiaTheme="minorEastAsia"/>
        </w:rPr>
        <w:t xml:space="preserve">-  </w:t>
      </w:r>
      <w:r>
        <w:rPr>
          <w:rFonts w:hint="default" w:ascii="Tahoma" w:hAnsi="Tahoma" w:cs="Tahoma" w:eastAsiaTheme="minorEastAsia"/>
          <w:lang w:val="en-US"/>
        </w:rPr>
        <w:t xml:space="preserve"> </w:t>
      </w:r>
      <w:r>
        <w:rPr>
          <w:rFonts w:hint="default" w:ascii="Tahoma" w:hAnsi="Tahoma" w:cs="Tahoma" w:eastAsiaTheme="minorEastAsia"/>
          <w:lang w:val="en-US"/>
        </w:rPr>
        <w:tab/>
      </w:r>
      <w:r>
        <w:rPr>
          <w:rFonts w:ascii="Tahoma" w:hAnsi="Tahoma" w:cs="Tahoma" w:eastAsiaTheme="minorEastAsia"/>
        </w:rPr>
        <w:t>Rekonsiliasi Daftar Transaksi Harian Pajak dan rekonsiliasi Harian Pajak atas belanja pada APBD Provinsi Sumatera Barat dengan OPD dan Direktorat Jenderal Pajak Kementerian Keuangan RI melalui KPKN;</w:t>
      </w:r>
    </w:p>
    <w:p>
      <w:pPr>
        <w:pStyle w:val="30"/>
        <w:spacing w:after="0" w:line="360" w:lineRule="auto"/>
        <w:ind w:left="1760" w:leftChars="600" w:hanging="440" w:hangingChars="200"/>
        <w:jc w:val="both"/>
        <w:rPr>
          <w:rFonts w:ascii="Tahoma" w:hAnsi="Tahoma" w:cs="Tahoma" w:eastAsiaTheme="minorEastAsia"/>
        </w:rPr>
      </w:pPr>
      <w:r>
        <w:rPr>
          <w:rFonts w:ascii="Tahoma" w:hAnsi="Tahoma" w:cs="Tahoma" w:eastAsiaTheme="minorEastAsia"/>
        </w:rPr>
        <w:t>-</w:t>
      </w:r>
      <w:r>
        <w:rPr>
          <w:rFonts w:hint="default" w:ascii="Tahoma" w:hAnsi="Tahoma" w:cs="Tahoma" w:eastAsiaTheme="minorEastAsia"/>
          <w:lang w:val="en-US"/>
        </w:rPr>
        <w:tab/>
      </w:r>
      <w:r>
        <w:rPr>
          <w:rFonts w:ascii="Tahoma" w:hAnsi="Tahoma" w:cs="Tahoma" w:eastAsiaTheme="minorEastAsia"/>
        </w:rPr>
        <w:t xml:space="preserve"> Rekonsiliasi </w:t>
      </w:r>
      <w:r>
        <w:rPr>
          <w:rFonts w:hint="default" w:ascii="Tahoma" w:hAnsi="Tahoma" w:cs="Tahoma" w:eastAsiaTheme="minorEastAsia"/>
          <w:lang w:val="en-US"/>
        </w:rPr>
        <w:t xml:space="preserve"> </w:t>
      </w:r>
      <w:r>
        <w:rPr>
          <w:rFonts w:ascii="Tahoma" w:hAnsi="Tahoma" w:cs="Tahoma" w:eastAsiaTheme="minorEastAsia"/>
        </w:rPr>
        <w:t xml:space="preserve">posisi </w:t>
      </w:r>
      <w:r>
        <w:rPr>
          <w:rFonts w:hint="default" w:ascii="Tahoma" w:hAnsi="Tahoma" w:cs="Tahoma" w:eastAsiaTheme="minorEastAsia"/>
          <w:lang w:val="en-US"/>
        </w:rPr>
        <w:t xml:space="preserve"> </w:t>
      </w:r>
      <w:r>
        <w:rPr>
          <w:rFonts w:ascii="Tahoma" w:hAnsi="Tahoma" w:cs="Tahoma" w:eastAsiaTheme="minorEastAsia"/>
        </w:rPr>
        <w:t xml:space="preserve">kas </w:t>
      </w:r>
      <w:r>
        <w:rPr>
          <w:rFonts w:hint="default" w:ascii="Tahoma" w:hAnsi="Tahoma" w:cs="Tahoma" w:eastAsiaTheme="minorEastAsia"/>
          <w:lang w:val="en-US"/>
        </w:rPr>
        <w:t xml:space="preserve"> </w:t>
      </w:r>
      <w:r>
        <w:rPr>
          <w:rFonts w:ascii="Tahoma" w:hAnsi="Tahoma" w:cs="Tahoma" w:eastAsiaTheme="minorEastAsia"/>
        </w:rPr>
        <w:t xml:space="preserve">daerah </w:t>
      </w:r>
      <w:r>
        <w:rPr>
          <w:rFonts w:hint="default" w:ascii="Tahoma" w:hAnsi="Tahoma" w:cs="Tahoma" w:eastAsiaTheme="minorEastAsia"/>
          <w:lang w:val="en-US"/>
        </w:rPr>
        <w:t xml:space="preserve"> </w:t>
      </w:r>
      <w:r>
        <w:rPr>
          <w:rFonts w:ascii="Tahoma" w:hAnsi="Tahoma" w:cs="Tahoma" w:eastAsiaTheme="minorEastAsia"/>
        </w:rPr>
        <w:t>dengan</w:t>
      </w:r>
      <w:r>
        <w:rPr>
          <w:rFonts w:hint="default" w:ascii="Tahoma" w:hAnsi="Tahoma" w:cs="Tahoma" w:eastAsiaTheme="minorEastAsia"/>
          <w:lang w:val="en-US"/>
        </w:rPr>
        <w:t xml:space="preserve"> </w:t>
      </w:r>
      <w:r>
        <w:rPr>
          <w:rFonts w:ascii="Tahoma" w:hAnsi="Tahoma" w:cs="Tahoma" w:eastAsiaTheme="minorEastAsia"/>
        </w:rPr>
        <w:t xml:space="preserve"> PT. BPD</w:t>
      </w:r>
      <w:r>
        <w:rPr>
          <w:rFonts w:hint="default" w:ascii="Tahoma" w:hAnsi="Tahoma" w:cs="Tahoma" w:eastAsiaTheme="minorEastAsia"/>
          <w:lang w:val="en-US"/>
        </w:rPr>
        <w:t xml:space="preserve"> </w:t>
      </w:r>
      <w:r>
        <w:rPr>
          <w:rFonts w:ascii="Tahoma" w:hAnsi="Tahoma" w:cs="Tahoma" w:eastAsiaTheme="minorEastAsia"/>
        </w:rPr>
        <w:t xml:space="preserve"> Sumatera Barat</w:t>
      </w:r>
      <w:r>
        <w:rPr>
          <w:rFonts w:hint="default" w:ascii="Tahoma" w:hAnsi="Tahoma" w:cs="Tahoma" w:eastAsiaTheme="minorEastAsia"/>
          <w:lang w:val="en-US"/>
        </w:rPr>
        <w:t xml:space="preserve"> </w:t>
      </w:r>
      <w:r>
        <w:rPr>
          <w:rFonts w:ascii="Tahoma" w:hAnsi="Tahoma" w:cs="Tahoma" w:eastAsiaTheme="minorEastAsia"/>
        </w:rPr>
        <w:t xml:space="preserve"> (Bank Nagari);</w:t>
      </w:r>
    </w:p>
    <w:p>
      <w:pPr>
        <w:pStyle w:val="30"/>
        <w:spacing w:after="0" w:line="360" w:lineRule="auto"/>
        <w:ind w:left="1760" w:leftChars="600" w:hanging="440" w:hangingChars="200"/>
        <w:jc w:val="both"/>
        <w:rPr>
          <w:rFonts w:ascii="Tahoma" w:hAnsi="Tahoma" w:cs="Tahoma" w:eastAsiaTheme="minorEastAsia"/>
        </w:rPr>
      </w:pPr>
      <w:r>
        <w:rPr>
          <w:rFonts w:ascii="Tahoma" w:hAnsi="Tahoma" w:cs="Tahoma" w:eastAsiaTheme="minorEastAsia"/>
        </w:rPr>
        <w:t xml:space="preserve">- </w:t>
      </w:r>
      <w:r>
        <w:rPr>
          <w:rFonts w:hint="default" w:ascii="Tahoma" w:hAnsi="Tahoma" w:cs="Tahoma" w:eastAsiaTheme="minorEastAsia"/>
          <w:lang w:val="en-US"/>
        </w:rPr>
        <w:tab/>
      </w:r>
      <w:r>
        <w:rPr>
          <w:rFonts w:ascii="Tahoma" w:hAnsi="Tahoma" w:cs="Tahoma" w:eastAsiaTheme="minorEastAsia"/>
        </w:rPr>
        <w:t>Rekonsiliasi dana perimbangan DAK Non Fisik dengan Kementerian Keuangan RI dan Kementerian Pendidikan Kebudayaan RI;</w:t>
      </w:r>
    </w:p>
    <w:p>
      <w:pPr>
        <w:pStyle w:val="30"/>
        <w:spacing w:after="0" w:line="360" w:lineRule="auto"/>
        <w:ind w:left="1760" w:leftChars="600" w:hanging="440" w:hangingChars="200"/>
        <w:jc w:val="both"/>
        <w:rPr>
          <w:rFonts w:ascii="Tahoma" w:hAnsi="Tahoma" w:cs="Tahoma" w:eastAsiaTheme="minorEastAsia"/>
        </w:rPr>
      </w:pPr>
      <w:r>
        <w:rPr>
          <w:rFonts w:ascii="Tahoma" w:hAnsi="Tahoma" w:cs="Tahoma" w:eastAsiaTheme="minorEastAsia"/>
        </w:rPr>
        <w:t xml:space="preserve">- </w:t>
      </w:r>
      <w:r>
        <w:rPr>
          <w:rFonts w:hint="default" w:ascii="Tahoma" w:hAnsi="Tahoma" w:cs="Tahoma" w:eastAsiaTheme="minorEastAsia"/>
          <w:lang w:val="en-US"/>
        </w:rPr>
        <w:tab/>
      </w:r>
      <w:r>
        <w:rPr>
          <w:rFonts w:ascii="Tahoma" w:hAnsi="Tahoma" w:cs="Tahoma" w:eastAsiaTheme="minorEastAsia"/>
        </w:rPr>
        <w:t>Rekonsiliasi pendapatan pajak daerah setiap bulannya antara  Bidang Akuntansi dan Pelaporan dengan Bidang Pajak Daerah dan Bendahara Penerimaan Badan Keuangan Daerah Provinsi Sumatera Barat;</w:t>
      </w:r>
    </w:p>
    <w:p>
      <w:pPr>
        <w:pStyle w:val="30"/>
        <w:spacing w:beforeLines="150" w:afterLines="100" w:line="360" w:lineRule="auto"/>
        <w:ind w:left="1760" w:leftChars="600" w:hanging="440" w:hangingChars="200"/>
        <w:jc w:val="both"/>
        <w:rPr>
          <w:rFonts w:ascii="Tahoma" w:hAnsi="Tahoma" w:cs="Tahoma" w:eastAsiaTheme="minorEastAsia"/>
        </w:rPr>
      </w:pPr>
      <w:r>
        <w:rPr>
          <w:rFonts w:ascii="Tahoma" w:hAnsi="Tahoma" w:cs="Tahoma" w:eastAsiaTheme="minorEastAsia"/>
        </w:rPr>
        <w:t xml:space="preserve">- </w:t>
      </w:r>
      <w:r>
        <w:rPr>
          <w:rFonts w:ascii="Tahoma" w:hAnsi="Tahoma" w:cs="Tahoma" w:eastAsiaTheme="minorEastAsia"/>
        </w:rPr>
        <w:tab/>
      </w:r>
      <w:r>
        <w:rPr>
          <w:rFonts w:ascii="Tahoma" w:hAnsi="Tahoma" w:cs="Tahoma" w:eastAsiaTheme="minorEastAsia"/>
        </w:rPr>
        <w:t>Rekonsiliasi Bidang</w:t>
      </w:r>
      <w:r>
        <w:rPr>
          <w:rFonts w:hint="default" w:ascii="Tahoma" w:hAnsi="Tahoma" w:cs="Tahoma" w:eastAsiaTheme="minorEastAsia"/>
          <w:lang w:val="en-US"/>
        </w:rPr>
        <w:t xml:space="preserve"> </w:t>
      </w:r>
      <w:r>
        <w:rPr>
          <w:rFonts w:ascii="Tahoma" w:hAnsi="Tahoma" w:cs="Tahoma" w:eastAsiaTheme="minorEastAsia"/>
        </w:rPr>
        <w:t xml:space="preserve">Akuntansi dan Pelaporan dengan 49 SKPD (yang memiliki DPA dan melaksanakan anggaran). </w:t>
      </w:r>
    </w:p>
    <w:p>
      <w:pPr>
        <w:pStyle w:val="30"/>
        <w:spacing w:beforeLines="150" w:afterLines="100" w:line="360" w:lineRule="auto"/>
        <w:ind w:left="1760" w:leftChars="600" w:hanging="440" w:hangingChars="200"/>
        <w:jc w:val="both"/>
        <w:rPr>
          <w:rFonts w:ascii="Tahoma" w:hAnsi="Tahoma" w:cs="Tahoma" w:eastAsiaTheme="minorEastAsia"/>
        </w:rPr>
      </w:pPr>
      <w:r>
        <w:rPr>
          <w:rFonts w:ascii="Tahoma" w:hAnsi="Tahoma" w:cs="Tahoma" w:eastAsiaTheme="minorEastAsia"/>
        </w:rPr>
        <w:t xml:space="preserve">- </w:t>
      </w:r>
      <w:r>
        <w:rPr>
          <w:rFonts w:hint="default" w:ascii="Tahoma" w:hAnsi="Tahoma" w:cs="Tahoma" w:eastAsiaTheme="minorEastAsia"/>
          <w:lang w:val="en-US"/>
        </w:rPr>
        <w:t xml:space="preserve">   </w:t>
      </w:r>
      <w:r>
        <w:rPr>
          <w:rFonts w:ascii="Tahoma" w:hAnsi="Tahoma" w:cs="Tahoma" w:eastAsiaTheme="minorEastAsia"/>
        </w:rPr>
        <w:t>Melakukan asistensi dan fasilitasi kepada SKPD terkait penyusunan laporan keuangan.</w:t>
      </w:r>
    </w:p>
    <w:p>
      <w:pPr>
        <w:pStyle w:val="30"/>
        <w:numPr>
          <w:ilvl w:val="0"/>
          <w:numId w:val="31"/>
        </w:numPr>
        <w:tabs>
          <w:tab w:val="clear" w:pos="425"/>
        </w:tabs>
        <w:spacing w:beforeLines="50" w:after="0" w:line="360" w:lineRule="auto"/>
        <w:ind w:left="1320" w:leftChars="400" w:hanging="440" w:hangingChars="200"/>
        <w:jc w:val="both"/>
        <w:rPr>
          <w:rFonts w:ascii="Tahoma" w:hAnsi="Tahoma" w:cs="Tahoma" w:eastAsiaTheme="minorEastAsia"/>
        </w:rPr>
      </w:pPr>
      <w:r>
        <w:rPr>
          <w:rFonts w:ascii="Tahoma" w:hAnsi="Tahoma" w:cs="Tahoma" w:eastAsiaTheme="minorEastAsia"/>
        </w:rPr>
        <w:t xml:space="preserve">Untuk validnya data/angka dalam Laporan Keuangan Pemerintah Provinsi Sumatera Barat yaitu Angka Aset Tetap, Aset Lainnya, Investasi Jangka Panjang dan Hutang, maka dilakukan sebagai berikut: </w:t>
      </w:r>
    </w:p>
    <w:p>
      <w:pPr>
        <w:pStyle w:val="30"/>
        <w:spacing w:after="0" w:line="360" w:lineRule="auto"/>
        <w:ind w:left="1760" w:leftChars="600" w:hanging="440" w:hangingChars="200"/>
        <w:jc w:val="both"/>
        <w:rPr>
          <w:rFonts w:ascii="Tahoma" w:hAnsi="Tahoma" w:cs="Tahoma" w:eastAsiaTheme="minorEastAsia"/>
        </w:rPr>
      </w:pPr>
      <w:r>
        <w:rPr>
          <w:rFonts w:ascii="Tahoma" w:hAnsi="Tahoma" w:cs="Tahoma" w:eastAsiaTheme="minorEastAsia"/>
        </w:rPr>
        <w:t xml:space="preserve">-  </w:t>
      </w:r>
      <w:r>
        <w:rPr>
          <w:rFonts w:hint="default" w:ascii="Tahoma" w:hAnsi="Tahoma" w:cs="Tahoma" w:eastAsiaTheme="minorEastAsia"/>
          <w:lang w:val="en-US"/>
        </w:rPr>
        <w:t xml:space="preserve">  </w:t>
      </w:r>
      <w:r>
        <w:rPr>
          <w:rFonts w:ascii="Tahoma" w:hAnsi="Tahoma" w:cs="Tahoma" w:eastAsiaTheme="minorEastAsia"/>
        </w:rPr>
        <w:t>Rekonsiliasi antara Bidang Akuntansi dan Pelaporan dengan SKPD dan Biro AP2BMD (untuk Aset Tetap);</w:t>
      </w:r>
    </w:p>
    <w:p>
      <w:pPr>
        <w:pStyle w:val="30"/>
        <w:spacing w:after="0" w:line="360" w:lineRule="auto"/>
        <w:ind w:left="1760" w:leftChars="600" w:hanging="440" w:hangingChars="200"/>
        <w:jc w:val="both"/>
        <w:rPr>
          <w:rFonts w:ascii="Tahoma" w:hAnsi="Tahoma" w:cs="Tahoma" w:eastAsiaTheme="minorEastAsia"/>
        </w:rPr>
      </w:pPr>
      <w:r>
        <w:rPr>
          <w:rFonts w:ascii="Tahoma" w:hAnsi="Tahoma" w:cs="Tahoma" w:eastAsiaTheme="minorEastAsia"/>
        </w:rPr>
        <w:t xml:space="preserve">- </w:t>
      </w:r>
      <w:r>
        <w:rPr>
          <w:rFonts w:hint="default" w:ascii="Tahoma" w:hAnsi="Tahoma" w:cs="Tahoma" w:eastAsiaTheme="minorEastAsia"/>
          <w:lang w:val="en-US"/>
        </w:rPr>
        <w:t xml:space="preserve"> </w:t>
      </w:r>
      <w:r>
        <w:rPr>
          <w:rFonts w:ascii="Tahoma" w:hAnsi="Tahoma" w:cs="Tahoma" w:eastAsiaTheme="minorEastAsia"/>
        </w:rPr>
        <w:t>Rekonsiliasi Bidang Akuntansi dan</w:t>
      </w:r>
      <w:r>
        <w:rPr>
          <w:rFonts w:hint="default" w:ascii="Tahoma" w:hAnsi="Tahoma" w:cs="Tahoma" w:eastAsiaTheme="minorEastAsia"/>
          <w:lang w:val="en-US"/>
        </w:rPr>
        <w:t xml:space="preserve"> </w:t>
      </w:r>
      <w:r>
        <w:rPr>
          <w:rFonts w:ascii="Tahoma" w:hAnsi="Tahoma" w:cs="Tahoma" w:eastAsiaTheme="minorEastAsia"/>
        </w:rPr>
        <w:t xml:space="preserve">Pelaporan dengan SKPD dan Biro Perekonomian serta Bank Nagari (untuk Dana Bergulir). </w:t>
      </w:r>
    </w:p>
    <w:p>
      <w:pPr>
        <w:pStyle w:val="30"/>
        <w:numPr>
          <w:ilvl w:val="0"/>
          <w:numId w:val="31"/>
        </w:numPr>
        <w:tabs>
          <w:tab w:val="clear" w:pos="425"/>
        </w:tabs>
        <w:spacing w:before="100" w:beforeAutospacing="1" w:after="0" w:line="360" w:lineRule="auto"/>
        <w:ind w:left="1320" w:leftChars="400" w:hanging="440" w:hangingChars="200"/>
        <w:jc w:val="both"/>
        <w:rPr>
          <w:rFonts w:ascii="Tahoma" w:hAnsi="Tahoma" w:cs="Tahoma" w:eastAsiaTheme="minorEastAsia"/>
        </w:rPr>
      </w:pPr>
      <w:r>
        <w:rPr>
          <w:rFonts w:ascii="Tahoma" w:hAnsi="Tahoma" w:cs="Tahoma" w:eastAsiaTheme="minorEastAsia"/>
        </w:rPr>
        <w:t xml:space="preserve">Untuk membantu SKPD dalammelaksanakan penyusunan anggaran, penatausahaan keuangan dan penyusunan laporan keuangan, maka Badan Keuangan Daerah melaksanakan Sosialisasi dan Bimbingan Teknis kepada Bendahara, PPK, dan Sekretaris seluruh SKPD. </w:t>
      </w:r>
    </w:p>
    <w:p>
      <w:pPr>
        <w:pStyle w:val="30"/>
        <w:numPr>
          <w:ilvl w:val="0"/>
          <w:numId w:val="31"/>
        </w:numPr>
        <w:tabs>
          <w:tab w:val="clear" w:pos="425"/>
        </w:tabs>
        <w:spacing w:before="100" w:beforeAutospacing="1" w:after="0" w:line="360" w:lineRule="auto"/>
        <w:ind w:left="1320" w:leftChars="400" w:hanging="440" w:hangingChars="200"/>
        <w:jc w:val="both"/>
        <w:rPr>
          <w:rFonts w:ascii="Tahoma" w:hAnsi="Tahoma" w:cs="Tahoma" w:eastAsiaTheme="minorEastAsia"/>
        </w:rPr>
      </w:pPr>
      <w:r>
        <w:rPr>
          <w:rFonts w:ascii="Tahoma" w:hAnsi="Tahoma" w:cs="Tahoma" w:eastAsiaTheme="minorEastAsia"/>
        </w:rPr>
        <w:t>Untuk memudahkan SKPD dalam menyusun RKA, DPA, membuat SPP, SPM, dan SP2D menyusun SPJ serta menyusun Laporan Keuangan SKPD berupa Laporan Realisasi Anggaran dan Neraca, maka selalu dilaksanakan Update Aplikasi Sistem Informasi Keuangan Pemerintah Daerah</w:t>
      </w:r>
      <w:r>
        <w:rPr>
          <w:rFonts w:hint="default" w:ascii="Tahoma" w:hAnsi="Tahoma" w:cs="Tahoma" w:eastAsiaTheme="minorEastAsia"/>
          <w:lang w:val="en-US"/>
        </w:rPr>
        <w:t xml:space="preserve"> </w:t>
      </w:r>
      <w:r>
        <w:rPr>
          <w:rFonts w:ascii="Tahoma" w:hAnsi="Tahoma" w:cs="Tahoma" w:eastAsiaTheme="minorEastAsia"/>
        </w:rPr>
        <w:t xml:space="preserve">(SIPKD) dan dilaksanakan bimbingan teknis kepada seluruh operator SIPKD, yaitu Operator Anggaran, Operator Penatausahaan dan Operator Pertanggungjawaban. </w:t>
      </w:r>
    </w:p>
    <w:p>
      <w:pPr>
        <w:pStyle w:val="30"/>
        <w:numPr>
          <w:ilvl w:val="0"/>
          <w:numId w:val="31"/>
        </w:numPr>
        <w:tabs>
          <w:tab w:val="clear" w:pos="425"/>
        </w:tabs>
        <w:spacing w:before="100" w:beforeAutospacing="1" w:after="0" w:line="360" w:lineRule="auto"/>
        <w:ind w:left="1320" w:leftChars="400" w:hanging="440" w:hangingChars="200"/>
        <w:jc w:val="both"/>
        <w:rPr>
          <w:rFonts w:ascii="Tahoma" w:hAnsi="Tahoma" w:cs="Tahoma" w:eastAsiaTheme="minorEastAsia"/>
        </w:rPr>
      </w:pPr>
      <w:r>
        <w:rPr>
          <w:rFonts w:ascii="Tahoma" w:hAnsi="Tahoma" w:cs="Tahoma" w:eastAsiaTheme="minorEastAsia"/>
        </w:rPr>
        <w:t xml:space="preserve">Untuk mengawasi penatausahaan dan pelaksanaan keuangan daerah yang dilaksanakan oleh SKPD yaitu oleh PA, KPA, PPTK, Bendahara Penerimaan,  Bendahara Pengeluaran, Bendahara Barang, dan Pengurus Barang maka dilakukan pengawasan oleh Inspektorat sesuai dengan Program Kegiatan Pemeriksaan Tahunan (PKPT) yang telah ditetapkan kepada seluruh SKPD dilingkungan Pemerintah Provinsi Sumatera Barat. </w:t>
      </w:r>
    </w:p>
    <w:p>
      <w:pPr>
        <w:numPr>
          <w:ilvl w:val="0"/>
          <w:numId w:val="31"/>
        </w:numPr>
        <w:tabs>
          <w:tab w:val="clear" w:pos="425"/>
        </w:tabs>
        <w:spacing w:before="100" w:beforeAutospacing="1" w:after="0" w:line="360" w:lineRule="auto"/>
        <w:ind w:left="1320" w:leftChars="400" w:hanging="440" w:hangingChars="200"/>
        <w:jc w:val="both"/>
        <w:rPr>
          <w:rFonts w:ascii="Tahoma" w:hAnsi="Tahoma" w:cs="Tahoma" w:eastAsiaTheme="minorEastAsia"/>
        </w:rPr>
      </w:pPr>
      <w:r>
        <w:rPr>
          <w:rFonts w:ascii="Tahoma" w:hAnsi="Tahoma" w:cs="Tahoma" w:eastAsiaTheme="minorEastAsia"/>
        </w:rPr>
        <w:t>Untuk meyakinkan</w:t>
      </w:r>
      <w:r>
        <w:rPr>
          <w:rFonts w:hint="default" w:ascii="Tahoma" w:hAnsi="Tahoma" w:cs="Tahoma" w:eastAsiaTheme="minorEastAsia"/>
          <w:lang w:val="en-US"/>
        </w:rPr>
        <w:t xml:space="preserve"> </w:t>
      </w:r>
      <w:r>
        <w:rPr>
          <w:rFonts w:ascii="Tahoma" w:hAnsi="Tahoma" w:cs="Tahoma" w:eastAsiaTheme="minorEastAsia"/>
        </w:rPr>
        <w:t>bahwa Laporan Keuangan yang telah disusun oleh SKPD dan Pemerintah Daerah telah sesuai dengan Standar Akuntansi Pemerintah, maka telah dilakukan Reviu oleh Inspektorat Provinsi Sumatera Barat baik Semesteran, Laporan Keuangan SKPD</w:t>
      </w:r>
      <w:r>
        <w:rPr>
          <w:rFonts w:hint="default" w:ascii="Tahoma" w:hAnsi="Tahoma" w:cs="Tahoma" w:eastAsiaTheme="minorEastAsia"/>
          <w:lang w:val="en-US"/>
        </w:rPr>
        <w:t xml:space="preserve"> </w:t>
      </w:r>
      <w:r>
        <w:rPr>
          <w:rFonts w:ascii="Tahoma" w:hAnsi="Tahoma" w:cs="Tahoma" w:eastAsiaTheme="minorEastAsia"/>
        </w:rPr>
        <w:t xml:space="preserve">maupun Laporan Keuangan Pemerintah Daerah. </w:t>
      </w:r>
    </w:p>
    <w:p>
      <w:pPr>
        <w:numPr>
          <w:ilvl w:val="0"/>
          <w:numId w:val="31"/>
        </w:numPr>
        <w:tabs>
          <w:tab w:val="clear" w:pos="425"/>
        </w:tabs>
        <w:spacing w:before="100" w:beforeAutospacing="1" w:after="0" w:line="360" w:lineRule="auto"/>
        <w:ind w:left="1320" w:leftChars="400" w:hanging="440" w:hangingChars="200"/>
        <w:jc w:val="both"/>
        <w:rPr>
          <w:rFonts w:ascii="Tahoma" w:hAnsi="Tahoma" w:cs="Tahoma" w:eastAsiaTheme="minorEastAsia"/>
        </w:rPr>
      </w:pPr>
      <w:r>
        <w:rPr>
          <w:rFonts w:ascii="Tahoma" w:hAnsi="Tahoma" w:cs="Tahoma" w:eastAsiaTheme="minorEastAsia"/>
        </w:rPr>
        <w:t>Untuk menyelesaikan permasalahan aset dilingkungan Pemerintah Provinsi Sumatera Barat, maka dilakukan dengan menyusun Rencana Aksi Penyelesaian Masalah Aset Pemerintah Provinsi Sumatera Barat yang dilaksanakan dibawah koordinasi Biro AP2BMD.</w:t>
      </w:r>
    </w:p>
    <w:p>
      <w:pPr>
        <w:pStyle w:val="30"/>
        <w:numPr>
          <w:ilvl w:val="0"/>
          <w:numId w:val="31"/>
        </w:numPr>
        <w:tabs>
          <w:tab w:val="clear" w:pos="425"/>
        </w:tabs>
        <w:spacing w:before="100" w:beforeAutospacing="1" w:after="0" w:line="360" w:lineRule="auto"/>
        <w:ind w:left="1320" w:leftChars="400" w:hanging="440" w:hangingChars="200"/>
        <w:jc w:val="both"/>
        <w:rPr>
          <w:rFonts w:ascii="Tahoma" w:hAnsi="Tahoma" w:cs="Tahoma" w:eastAsiaTheme="minorEastAsia"/>
        </w:rPr>
      </w:pPr>
      <w:r>
        <w:rPr>
          <w:rFonts w:ascii="Tahoma" w:hAnsi="Tahoma" w:cs="Tahoma" w:eastAsiaTheme="minorEastAsia"/>
        </w:rPr>
        <w:t xml:space="preserve">Selain itu juga dilakukan pendampingan secara terus menerus melalui group </w:t>
      </w:r>
      <w:r>
        <w:rPr>
          <w:rFonts w:ascii="Tahoma" w:hAnsi="Tahoma" w:cs="Tahoma" w:eastAsiaTheme="minorEastAsia"/>
          <w:i/>
          <w:iCs/>
        </w:rPr>
        <w:t>Whatsapp</w:t>
      </w:r>
      <w:r>
        <w:rPr>
          <w:rFonts w:ascii="Tahoma" w:hAnsi="Tahoma" w:cs="Tahoma" w:eastAsiaTheme="minorEastAsia"/>
        </w:rPr>
        <w:t xml:space="preserve"> yaitu </w:t>
      </w:r>
      <w:r>
        <w:rPr>
          <w:rFonts w:ascii="Tahoma" w:hAnsi="Tahoma" w:cs="Tahoma" w:eastAsiaTheme="minorEastAsia"/>
          <w:i/>
          <w:iCs/>
        </w:rPr>
        <w:t>Help Desk</w:t>
      </w:r>
      <w:r>
        <w:rPr>
          <w:rFonts w:ascii="Tahoma" w:hAnsi="Tahoma" w:cs="Tahoma" w:eastAsiaTheme="minorEastAsia"/>
        </w:rPr>
        <w:t xml:space="preserve"> SIPKD. Di grup ini apabila SKPD menemui masalah akan dapat ditindaklanjuti langsung oleh admin SIPKD.</w:t>
      </w:r>
    </w:p>
    <w:p>
      <w:pPr>
        <w:pStyle w:val="30"/>
        <w:tabs>
          <w:tab w:val="left" w:pos="426"/>
          <w:tab w:val="left" w:leader="dot" w:pos="8505"/>
        </w:tabs>
        <w:spacing w:after="0" w:line="360" w:lineRule="auto"/>
        <w:ind w:left="440" w:leftChars="200"/>
        <w:rPr>
          <w:rFonts w:ascii="Tahoma" w:hAnsi="Tahoma" w:cs="Tahoma"/>
        </w:rPr>
      </w:pPr>
      <w:r>
        <w:rPr>
          <w:rFonts w:ascii="Tahoma" w:hAnsi="Tahoma" w:cs="Tahoma"/>
          <w:iCs/>
        </w:rPr>
        <w:t>Faktor penghambat</w:t>
      </w:r>
      <w:r>
        <w:rPr>
          <w:rFonts w:hint="default" w:ascii="Tahoma" w:hAnsi="Tahoma" w:cs="Tahoma"/>
          <w:iCs/>
          <w:lang w:val="en-US"/>
        </w:rPr>
        <w:t xml:space="preserve"> </w:t>
      </w:r>
      <w:r>
        <w:rPr>
          <w:rFonts w:ascii="Tahoma" w:hAnsi="Tahoma" w:cs="Tahoma"/>
        </w:rPr>
        <w:t>untuk mempertahankan Opini BPK</w:t>
      </w:r>
      <w:r>
        <w:rPr>
          <w:rFonts w:hint="default" w:ascii="Tahoma" w:hAnsi="Tahoma" w:cs="Tahoma"/>
          <w:lang w:val="en-US"/>
        </w:rPr>
        <w:t xml:space="preserve"> :</w:t>
      </w:r>
    </w:p>
    <w:p>
      <w:pPr>
        <w:pStyle w:val="30"/>
        <w:numPr>
          <w:ilvl w:val="0"/>
          <w:numId w:val="32"/>
        </w:numPr>
        <w:spacing w:before="100" w:beforeAutospacing="1" w:after="120" w:line="360" w:lineRule="auto"/>
        <w:ind w:left="880" w:leftChars="200" w:hanging="440" w:hangingChars="200"/>
        <w:jc w:val="both"/>
        <w:rPr>
          <w:rFonts w:ascii="Tahoma" w:hAnsi="Tahoma" w:cs="Tahoma" w:eastAsiaTheme="minorEastAsia"/>
        </w:rPr>
      </w:pPr>
      <w:r>
        <w:rPr>
          <w:rFonts w:ascii="Tahoma" w:hAnsi="Tahoma" w:cs="Tahoma" w:eastAsiaTheme="minorEastAsia"/>
        </w:rPr>
        <w:t>Peraturan perundang-undangan, sistem, dan mekanisme tata kelola keuangan, yang meliputi penatausahaan, penganggaran dan pertanggungjawaban pelaporan keuangan, serta pengelolaan aset daerah yang belum dipahami secara menyeluruh oleh SKPD.</w:t>
      </w:r>
    </w:p>
    <w:p>
      <w:pPr>
        <w:pStyle w:val="30"/>
        <w:numPr>
          <w:ilvl w:val="0"/>
          <w:numId w:val="32"/>
        </w:numPr>
        <w:spacing w:before="100" w:beforeAutospacing="1" w:after="120" w:line="360" w:lineRule="auto"/>
        <w:ind w:left="880" w:leftChars="200" w:hanging="440" w:hangingChars="200"/>
        <w:jc w:val="both"/>
        <w:rPr>
          <w:rFonts w:ascii="Tahoma" w:hAnsi="Tahoma" w:cs="Tahoma" w:eastAsiaTheme="minorEastAsia"/>
        </w:rPr>
      </w:pPr>
      <w:r>
        <w:rPr>
          <w:rFonts w:ascii="Tahoma" w:hAnsi="Tahoma" w:cs="Tahoma" w:eastAsiaTheme="minorEastAsia"/>
        </w:rPr>
        <w:t>Kurang maksimalnya koordinasi dalam proses penyusunan anggaran, penyusunan laporan keuangan serta penyelesaian permasalahan dalam pengelolaan aset daerah.</w:t>
      </w:r>
    </w:p>
    <w:p>
      <w:pPr>
        <w:pStyle w:val="30"/>
        <w:numPr>
          <w:ilvl w:val="0"/>
          <w:numId w:val="32"/>
        </w:numPr>
        <w:spacing w:before="100" w:beforeAutospacing="1" w:after="120" w:line="360" w:lineRule="auto"/>
        <w:ind w:left="880" w:leftChars="200" w:hanging="440" w:hangingChars="200"/>
        <w:jc w:val="both"/>
        <w:rPr>
          <w:rFonts w:ascii="Tahoma" w:hAnsi="Tahoma" w:cs="Tahoma"/>
        </w:rPr>
      </w:pPr>
      <w:r>
        <w:rPr>
          <w:rFonts w:ascii="Tahoma" w:hAnsi="Tahoma" w:cs="Tahoma" w:eastAsiaTheme="minorEastAsia"/>
        </w:rPr>
        <w:t xml:space="preserve">Adanya peraturan perundang-undangan atau ketentuan peraturan lainnya pada tahun berjalan tidak disertai dengan petunjuk pelaksanaan yang jelas, sehingga menyulitkan dalam pemahaman dan implementasi. </w:t>
      </w:r>
    </w:p>
    <w:p>
      <w:pPr>
        <w:pStyle w:val="30"/>
        <w:spacing w:line="360" w:lineRule="auto"/>
        <w:ind w:left="444" w:leftChars="202"/>
        <w:jc w:val="both"/>
        <w:rPr>
          <w:rFonts w:ascii="Tahoma" w:hAnsi="Tahoma" w:cs="Tahoma"/>
        </w:rPr>
      </w:pPr>
    </w:p>
    <w:p>
      <w:pPr>
        <w:pStyle w:val="30"/>
        <w:spacing w:before="100" w:beforeAutospacing="1" w:after="120" w:line="360" w:lineRule="auto"/>
        <w:ind w:left="426"/>
        <w:rPr>
          <w:rFonts w:ascii="Tahoma" w:hAnsi="Tahoma" w:cs="Tahoma"/>
        </w:rPr>
      </w:pPr>
      <w:r>
        <w:rPr>
          <w:rFonts w:ascii="Tahoma" w:hAnsi="Tahoma" w:cs="Tahoma"/>
        </w:rPr>
        <w:t>Upaya untuk mempertahankan Opini BPK di masa yang akan datang:</w:t>
      </w:r>
      <w:r>
        <w:rPr>
          <w:rFonts w:ascii="Tahoma" w:hAnsi="Tahoma" w:cs="Tahoma"/>
        </w:rPr>
        <w:tab/>
      </w:r>
    </w:p>
    <w:p>
      <w:pPr>
        <w:pStyle w:val="30"/>
        <w:numPr>
          <w:ilvl w:val="0"/>
          <w:numId w:val="33"/>
        </w:numPr>
        <w:tabs>
          <w:tab w:val="clear" w:pos="425"/>
        </w:tabs>
        <w:spacing w:before="100" w:beforeAutospacing="1" w:after="120" w:line="360" w:lineRule="auto"/>
        <w:ind w:left="1085"/>
        <w:jc w:val="both"/>
        <w:rPr>
          <w:rFonts w:ascii="Tahoma" w:hAnsi="Tahoma" w:cs="Tahoma" w:eastAsiaTheme="minorEastAsia"/>
        </w:rPr>
      </w:pPr>
      <w:r>
        <w:rPr>
          <w:rFonts w:ascii="Tahoma" w:hAnsi="Tahoma" w:cs="Tahoma" w:eastAsiaTheme="minorEastAsia"/>
        </w:rPr>
        <w:t>Adanya penyesuaian regulasi pengelolaan keuangan daerah dan kebijakan akuntansi karena adanya perubahan regulasi yang dilakukan oleh pemerintah.</w:t>
      </w:r>
    </w:p>
    <w:p>
      <w:pPr>
        <w:pStyle w:val="30"/>
        <w:numPr>
          <w:ilvl w:val="0"/>
          <w:numId w:val="33"/>
        </w:numPr>
        <w:tabs>
          <w:tab w:val="clear" w:pos="425"/>
        </w:tabs>
        <w:spacing w:before="100" w:beforeAutospacing="1" w:after="120" w:line="360" w:lineRule="auto"/>
        <w:ind w:left="1085"/>
        <w:jc w:val="both"/>
        <w:rPr>
          <w:rFonts w:ascii="Tahoma" w:hAnsi="Tahoma" w:cs="Tahoma" w:eastAsiaTheme="minorEastAsia"/>
        </w:rPr>
      </w:pPr>
      <w:r>
        <w:rPr>
          <w:rFonts w:ascii="Tahoma" w:hAnsi="Tahoma" w:cs="Tahoma" w:eastAsiaTheme="minorEastAsia"/>
        </w:rPr>
        <w:t>Adanya upaya-upaya peningkatan kualitas sumber daya manusia secara berkelanjutan yang berdampak pada peningkatan kualitas perencanaan, penganggaran, penatausahaan, dan pelaporan keuangan.</w:t>
      </w:r>
    </w:p>
    <w:p>
      <w:pPr>
        <w:pStyle w:val="30"/>
        <w:numPr>
          <w:ilvl w:val="0"/>
          <w:numId w:val="33"/>
        </w:numPr>
        <w:tabs>
          <w:tab w:val="clear" w:pos="425"/>
        </w:tabs>
        <w:spacing w:before="100" w:beforeAutospacing="1" w:after="120" w:line="360" w:lineRule="auto"/>
        <w:ind w:left="1085"/>
        <w:jc w:val="both"/>
        <w:rPr>
          <w:rFonts w:ascii="Tahoma" w:hAnsi="Tahoma" w:cs="Tahoma" w:eastAsiaTheme="minorEastAsia"/>
        </w:rPr>
      </w:pPr>
      <w:r>
        <w:rPr>
          <w:rFonts w:ascii="Tahoma" w:hAnsi="Tahoma" w:cs="Tahoma" w:eastAsiaTheme="minorEastAsia"/>
        </w:rPr>
        <w:t>Adanya dukungan aplikasi yang terintegrasi sejak penganggaran, penatausahaan, dan pertanggungjawaban yang semakin baik sehingga laporan dapat diselesaikan tepat waktu dan meminimalkan terjadi kesalahan-kesalahan baik pada tahap penganggaran, penatausahaan, dan pertanggungjawaban.</w:t>
      </w:r>
    </w:p>
    <w:p>
      <w:pPr>
        <w:pStyle w:val="30"/>
        <w:numPr>
          <w:ilvl w:val="0"/>
          <w:numId w:val="33"/>
        </w:numPr>
        <w:tabs>
          <w:tab w:val="clear" w:pos="425"/>
        </w:tabs>
        <w:spacing w:before="100" w:beforeAutospacing="1" w:after="120" w:line="360" w:lineRule="auto"/>
        <w:ind w:left="1085"/>
        <w:jc w:val="both"/>
        <w:rPr>
          <w:rFonts w:ascii="Tahoma" w:hAnsi="Tahoma" w:cs="Tahoma"/>
        </w:rPr>
      </w:pPr>
      <w:r>
        <w:rPr>
          <w:rFonts w:ascii="Tahoma" w:hAnsi="Tahoma" w:cs="Tahoma" w:eastAsiaTheme="minorEastAsia"/>
        </w:rPr>
        <w:t>Peningkatan peran Aparat Pengawasan Intern (APIP) dalam pelaksanaan pengendalian internal pemerintah daerah.</w:t>
      </w:r>
    </w:p>
    <w:p>
      <w:pPr>
        <w:pStyle w:val="30"/>
        <w:numPr>
          <w:ilvl w:val="0"/>
          <w:numId w:val="33"/>
        </w:numPr>
        <w:tabs>
          <w:tab w:val="clear" w:pos="425"/>
        </w:tabs>
        <w:spacing w:before="100" w:beforeAutospacing="1" w:after="120" w:line="360" w:lineRule="auto"/>
        <w:ind w:left="1085"/>
        <w:jc w:val="both"/>
        <w:rPr>
          <w:rFonts w:ascii="Tahoma" w:hAnsi="Tahoma" w:cs="Tahoma"/>
        </w:rPr>
      </w:pPr>
      <w:r>
        <w:rPr>
          <w:rFonts w:ascii="Tahoma" w:hAnsi="Tahoma" w:cs="Tahoma" w:eastAsiaTheme="minorEastAsia"/>
        </w:rPr>
        <w:t xml:space="preserve">Menyelesaikan tindak lanjut dari BPK-RI dan menyikapi rekomendasi BPK yang tertuang dalam surat Hasil Pemeriksaan atas Laporan Keuangan Pemerintah Provinsi Sumatera Barat TA 2019 agar kedepannya dapat meminimalisir kelemahan sistem pengendalian intern dalam penyusunan laporan keuangan sehingga opini BPK yaitu WTP di masa mendatang dapat dipertahankan. </w:t>
      </w:r>
    </w:p>
    <w:p>
      <w:pPr>
        <w:pStyle w:val="30"/>
        <w:numPr>
          <w:ilvl w:val="0"/>
          <w:numId w:val="33"/>
        </w:numPr>
        <w:tabs>
          <w:tab w:val="clear" w:pos="425"/>
        </w:tabs>
        <w:spacing w:after="0" w:line="360" w:lineRule="auto"/>
        <w:ind w:left="1134"/>
        <w:jc w:val="both"/>
        <w:rPr>
          <w:rFonts w:ascii="Tahoma" w:hAnsi="Tahoma" w:cs="Tahoma"/>
        </w:rPr>
      </w:pPr>
      <w:r>
        <w:rPr>
          <w:rFonts w:ascii="Tahoma" w:hAnsi="Tahoma" w:cs="Tahoma"/>
        </w:rPr>
        <w:t xml:space="preserve">Selain itu juga dilakukan pendampingan secara terus menerus melalui group </w:t>
      </w:r>
      <w:r>
        <w:rPr>
          <w:rFonts w:ascii="Tahoma" w:hAnsi="Tahoma" w:cs="Tahoma"/>
          <w:i/>
          <w:iCs/>
        </w:rPr>
        <w:t>Whatsapp</w:t>
      </w:r>
      <w:r>
        <w:rPr>
          <w:rFonts w:ascii="Tahoma" w:hAnsi="Tahoma" w:cs="Tahoma"/>
        </w:rPr>
        <w:t xml:space="preserve"> yaitu </w:t>
      </w:r>
      <w:r>
        <w:rPr>
          <w:rFonts w:ascii="Tahoma" w:hAnsi="Tahoma" w:cs="Tahoma"/>
          <w:i/>
          <w:iCs/>
        </w:rPr>
        <w:t>Help Desk</w:t>
      </w:r>
      <w:r>
        <w:rPr>
          <w:rFonts w:ascii="Tahoma" w:hAnsi="Tahoma" w:cs="Tahoma"/>
        </w:rPr>
        <w:t xml:space="preserve"> SIPKD. Di grup ini apabila SKPD menemui masalah akan dapat ditindaklanjuti langsung oleh admin SIPKD.</w:t>
      </w:r>
    </w:p>
    <w:p>
      <w:pPr>
        <w:pStyle w:val="30"/>
        <w:spacing w:after="0" w:line="240" w:lineRule="auto"/>
        <w:ind w:left="0"/>
        <w:jc w:val="both"/>
        <w:rPr>
          <w:rFonts w:ascii="Tahoma" w:hAnsi="Tahoma" w:cs="Tahoma"/>
        </w:rPr>
      </w:pPr>
    </w:p>
    <w:p>
      <w:pPr>
        <w:pStyle w:val="30"/>
        <w:spacing w:afterLines="50" w:line="360" w:lineRule="auto"/>
        <w:ind w:left="1100" w:firstLine="714"/>
        <w:jc w:val="center"/>
        <w:rPr>
          <w:rFonts w:ascii="Tahoma" w:hAnsi="Tahoma" w:cs="Tahoma"/>
          <w:b/>
          <w:bCs/>
        </w:rPr>
      </w:pPr>
    </w:p>
    <w:p>
      <w:pPr>
        <w:pStyle w:val="30"/>
        <w:spacing w:afterLines="50" w:line="360" w:lineRule="auto"/>
        <w:ind w:left="1100" w:firstLine="714"/>
        <w:jc w:val="center"/>
        <w:rPr>
          <w:rFonts w:ascii="Tahoma" w:hAnsi="Tahoma" w:cs="Tahoma"/>
          <w:b/>
          <w:bCs/>
        </w:rPr>
      </w:pPr>
      <w:r>
        <w:rPr>
          <w:rFonts w:ascii="Tahoma" w:hAnsi="Tahoma" w:cs="Tahoma"/>
          <w:b/>
          <w:bCs/>
        </w:rPr>
        <w:t>Gambar 3.2</w:t>
      </w:r>
    </w:p>
    <w:p>
      <w:pPr>
        <w:pStyle w:val="30"/>
        <w:spacing w:afterLines="100" w:line="360" w:lineRule="auto"/>
        <w:ind w:left="1100" w:firstLine="714"/>
        <w:jc w:val="center"/>
        <w:rPr>
          <w:rFonts w:ascii="Tahoma" w:hAnsi="Tahoma" w:cs="Tahoma"/>
        </w:rPr>
      </w:pPr>
      <w:r>
        <w:rPr>
          <w:rFonts w:ascii="Tahoma" w:hAnsi="Tahoma" w:cs="Tahoma"/>
          <w:b/>
          <w:bCs/>
        </w:rPr>
        <w:t>Screenshoot Whatsapp Group Helpdesk SIPKD</w:t>
      </w:r>
    </w:p>
    <w:p>
      <w:pPr>
        <w:spacing w:after="0" w:line="360" w:lineRule="auto"/>
        <w:ind w:left="2200" w:leftChars="0" w:firstLine="0" w:firstLineChars="0"/>
        <w:jc w:val="both"/>
        <w:rPr>
          <w:rFonts w:cs="Calibri"/>
          <w:color w:val="000000"/>
          <w:lang w:val="id-ID"/>
        </w:rPr>
      </w:pPr>
      <w:r>
        <w:rPr>
          <w:rFonts w:cs="Calibri"/>
          <w:sz w:val="24"/>
          <w:szCs w:val="24"/>
          <w:lang w:val="id-ID" w:eastAsia="id-ID"/>
        </w:rPr>
        <w:drawing>
          <wp:inline distT="0" distB="0" distL="0" distR="0">
            <wp:extent cx="3937635" cy="3604260"/>
            <wp:effectExtent l="0" t="0" r="5715" b="15240"/>
            <wp:docPr id="2" name="Picture 4" descr="WhatsApp Image 2019-01-22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WhatsApp Image 2019-01-22 at 14"/>
                    <pic:cNvPicPr>
                      <a:picLocks noChangeAspect="1" noChangeArrowheads="1"/>
                    </pic:cNvPicPr>
                  </pic:nvPicPr>
                  <pic:blipFill>
                    <a:blip r:embed="rId28"/>
                    <a:srcRect/>
                    <a:stretch>
                      <a:fillRect/>
                    </a:stretch>
                  </pic:blipFill>
                  <pic:spPr>
                    <a:xfrm>
                      <a:off x="0" y="0"/>
                      <a:ext cx="3937635" cy="3604260"/>
                    </a:xfrm>
                    <a:prstGeom prst="rect">
                      <a:avLst/>
                    </a:prstGeom>
                    <a:noFill/>
                    <a:ln w="9525">
                      <a:noFill/>
                      <a:miter lim="800000"/>
                      <a:headEnd/>
                      <a:tailEnd/>
                    </a:ln>
                  </pic:spPr>
                </pic:pic>
              </a:graphicData>
            </a:graphic>
          </wp:inline>
        </w:drawing>
      </w:r>
    </w:p>
    <w:p>
      <w:pPr>
        <w:pStyle w:val="20"/>
        <w:numPr>
          <w:ilvl w:val="0"/>
          <w:numId w:val="0"/>
        </w:numPr>
        <w:tabs>
          <w:tab w:val="left" w:pos="851"/>
        </w:tabs>
        <w:ind w:left="1080" w:hanging="720"/>
        <w:jc w:val="both"/>
        <w:rPr>
          <w:color w:val="000000"/>
          <w:lang w:val="id-ID"/>
        </w:rPr>
      </w:pPr>
    </w:p>
    <w:p>
      <w:pPr>
        <w:pStyle w:val="30"/>
        <w:spacing w:before="100" w:beforeAutospacing="1" w:after="0" w:line="360" w:lineRule="auto"/>
        <w:ind w:left="425" w:firstLine="220" w:firstLineChars="100"/>
        <w:rPr>
          <w:rFonts w:ascii="Tahoma" w:hAnsi="Tahoma" w:cs="Tahoma"/>
          <w:b/>
          <w:bCs/>
        </w:rPr>
      </w:pPr>
      <w:r>
        <w:rPr>
          <w:rFonts w:ascii="Tahoma" w:hAnsi="Tahoma" w:cs="Tahoma"/>
          <w:b/>
          <w:bCs/>
        </w:rPr>
        <w:t xml:space="preserve">Program/kegiatan dan Anggaran </w:t>
      </w:r>
      <w:r>
        <w:rPr>
          <w:rFonts w:hint="default" w:ascii="Tahoma" w:hAnsi="Tahoma" w:cs="Tahoma"/>
          <w:b/>
          <w:bCs/>
          <w:lang w:val="en-US"/>
        </w:rPr>
        <w:t xml:space="preserve">dengan sasaran ini </w:t>
      </w:r>
      <w:r>
        <w:rPr>
          <w:rFonts w:ascii="Tahoma" w:hAnsi="Tahoma" w:cs="Tahoma"/>
          <w:b/>
          <w:bCs/>
        </w:rPr>
        <w:t>adalah:</w:t>
      </w:r>
    </w:p>
    <w:p>
      <w:pPr>
        <w:pStyle w:val="30"/>
        <w:spacing w:after="0" w:line="360" w:lineRule="auto"/>
        <w:ind w:left="660" w:leftChars="300"/>
        <w:rPr>
          <w:rFonts w:ascii="Tahoma" w:hAnsi="Tahoma" w:cs="Tahoma"/>
          <w:iCs/>
        </w:rPr>
      </w:pPr>
      <w:r>
        <w:rPr>
          <w:rFonts w:ascii="Tahoma" w:hAnsi="Tahoma" w:cs="Tahoma"/>
          <w:iCs/>
        </w:rPr>
        <w:t>Program : Kualitas Pengelolaan Keuangan Daerah</w:t>
      </w:r>
    </w:p>
    <w:p>
      <w:pPr>
        <w:pStyle w:val="30"/>
        <w:spacing w:after="0" w:line="360" w:lineRule="auto"/>
        <w:ind w:left="660"/>
        <w:rPr>
          <w:rFonts w:ascii="Tahoma" w:hAnsi="Tahoma" w:cs="Tahoma"/>
          <w:iCs/>
        </w:rPr>
      </w:pPr>
      <w:r>
        <w:rPr>
          <w:rFonts w:ascii="Tahoma" w:hAnsi="Tahoma" w:cs="Tahoma"/>
          <w:iCs/>
        </w:rPr>
        <w:t>Kegiatan :</w:t>
      </w:r>
    </w:p>
    <w:p>
      <w:pPr>
        <w:numPr>
          <w:ilvl w:val="1"/>
          <w:numId w:val="34"/>
        </w:numPr>
        <w:autoSpaceDE w:val="0"/>
        <w:autoSpaceDN w:val="0"/>
        <w:adjustRightInd w:val="0"/>
        <w:spacing w:after="0" w:line="360" w:lineRule="auto"/>
        <w:ind w:left="1100" w:hanging="442"/>
        <w:jc w:val="both"/>
        <w:rPr>
          <w:rFonts w:ascii="Tahoma" w:hAnsi="Tahoma" w:cs="Tahoma"/>
          <w:bCs/>
          <w:lang w:val="id-ID"/>
        </w:rPr>
      </w:pPr>
      <w:r>
        <w:rPr>
          <w:rFonts w:ascii="Tahoma" w:hAnsi="Tahoma" w:cs="Tahoma"/>
          <w:bCs/>
          <w:lang w:val="id-ID"/>
        </w:rPr>
        <w:t xml:space="preserve">Penyusunan </w:t>
      </w:r>
      <w:r>
        <w:rPr>
          <w:rFonts w:ascii="Tahoma" w:hAnsi="Tahoma" w:cs="Tahoma"/>
          <w:bCs/>
        </w:rPr>
        <w:t xml:space="preserve">Peraturan Daerah </w:t>
      </w:r>
      <w:r>
        <w:rPr>
          <w:rFonts w:ascii="Tahoma" w:hAnsi="Tahoma" w:cs="Tahoma"/>
          <w:bCs/>
          <w:lang w:val="id-ID"/>
        </w:rPr>
        <w:t xml:space="preserve">tentang APBD </w:t>
      </w:r>
      <w:r>
        <w:rPr>
          <w:rFonts w:ascii="Tahoma" w:hAnsi="Tahoma" w:cs="Tahoma"/>
          <w:bCs/>
        </w:rPr>
        <w:t>dengan anggaran sebesar Rp. 858.847.400,-</w:t>
      </w:r>
    </w:p>
    <w:p>
      <w:pPr>
        <w:numPr>
          <w:ilvl w:val="1"/>
          <w:numId w:val="34"/>
        </w:numPr>
        <w:autoSpaceDE w:val="0"/>
        <w:autoSpaceDN w:val="0"/>
        <w:adjustRightInd w:val="0"/>
        <w:spacing w:after="0" w:line="360" w:lineRule="auto"/>
        <w:ind w:left="1100" w:hanging="442"/>
        <w:jc w:val="both"/>
        <w:rPr>
          <w:rFonts w:ascii="Tahoma" w:hAnsi="Tahoma" w:cs="Tahoma"/>
          <w:bCs/>
          <w:lang w:val="id-ID"/>
        </w:rPr>
      </w:pPr>
      <w:r>
        <w:rPr>
          <w:rFonts w:ascii="Tahoma" w:hAnsi="Tahoma" w:cs="Tahoma"/>
          <w:bCs/>
        </w:rPr>
        <w:t>P</w:t>
      </w:r>
      <w:r>
        <w:rPr>
          <w:rFonts w:ascii="Tahoma" w:hAnsi="Tahoma" w:cs="Tahoma"/>
          <w:bCs/>
          <w:lang w:val="id-ID"/>
        </w:rPr>
        <w:t xml:space="preserve">enyusunan </w:t>
      </w:r>
      <w:r>
        <w:rPr>
          <w:rFonts w:ascii="Tahoma" w:hAnsi="Tahoma" w:cs="Tahoma"/>
          <w:bCs/>
        </w:rPr>
        <w:t>P</w:t>
      </w:r>
      <w:r>
        <w:rPr>
          <w:rFonts w:ascii="Tahoma" w:hAnsi="Tahoma" w:cs="Tahoma"/>
          <w:bCs/>
          <w:lang w:val="id-ID"/>
        </w:rPr>
        <w:t xml:space="preserve">eraturan Gubernur tentang </w:t>
      </w:r>
      <w:r>
        <w:rPr>
          <w:rFonts w:ascii="Tahoma" w:hAnsi="Tahoma" w:cs="Tahoma"/>
          <w:bCs/>
        </w:rPr>
        <w:t>P</w:t>
      </w:r>
      <w:r>
        <w:rPr>
          <w:rFonts w:ascii="Tahoma" w:hAnsi="Tahoma" w:cs="Tahoma"/>
          <w:bCs/>
          <w:lang w:val="id-ID"/>
        </w:rPr>
        <w:t xml:space="preserve">enjabaran APBD </w:t>
      </w:r>
      <w:r>
        <w:rPr>
          <w:rFonts w:ascii="Tahoma" w:hAnsi="Tahoma" w:cs="Tahoma"/>
          <w:bCs/>
        </w:rPr>
        <w:t>dengan anggaran sebesar Rp. 120.684.800,-</w:t>
      </w:r>
    </w:p>
    <w:p>
      <w:pPr>
        <w:numPr>
          <w:ilvl w:val="1"/>
          <w:numId w:val="34"/>
        </w:numPr>
        <w:autoSpaceDE w:val="0"/>
        <w:autoSpaceDN w:val="0"/>
        <w:adjustRightInd w:val="0"/>
        <w:spacing w:after="0" w:line="360" w:lineRule="auto"/>
        <w:ind w:left="1100" w:hanging="442"/>
        <w:jc w:val="both"/>
        <w:rPr>
          <w:rFonts w:ascii="Tahoma" w:hAnsi="Tahoma" w:cs="Tahoma"/>
          <w:bCs/>
          <w:lang w:val="id-ID"/>
        </w:rPr>
      </w:pPr>
      <w:r>
        <w:rPr>
          <w:rFonts w:ascii="Tahoma" w:hAnsi="Tahoma" w:cs="Tahoma"/>
          <w:bCs/>
          <w:lang w:val="id-ID"/>
        </w:rPr>
        <w:t>Penyusunan Per</w:t>
      </w:r>
      <w:r>
        <w:rPr>
          <w:rFonts w:ascii="Tahoma" w:hAnsi="Tahoma" w:cs="Tahoma"/>
          <w:bCs/>
        </w:rPr>
        <w:t>aturan D</w:t>
      </w:r>
      <w:r>
        <w:rPr>
          <w:rFonts w:ascii="Tahoma" w:hAnsi="Tahoma" w:cs="Tahoma"/>
          <w:bCs/>
          <w:lang w:val="id-ID"/>
        </w:rPr>
        <w:t>a</w:t>
      </w:r>
      <w:r>
        <w:rPr>
          <w:rFonts w:ascii="Tahoma" w:hAnsi="Tahoma" w:cs="Tahoma"/>
          <w:bCs/>
        </w:rPr>
        <w:t>erah</w:t>
      </w:r>
      <w:r>
        <w:rPr>
          <w:rFonts w:ascii="Tahoma" w:hAnsi="Tahoma" w:cs="Tahoma"/>
          <w:bCs/>
          <w:lang w:val="id-ID"/>
        </w:rPr>
        <w:t xml:space="preserve"> tentang </w:t>
      </w:r>
      <w:r>
        <w:rPr>
          <w:rFonts w:ascii="Tahoma" w:hAnsi="Tahoma" w:cs="Tahoma"/>
          <w:bCs/>
        </w:rPr>
        <w:t>P</w:t>
      </w:r>
      <w:r>
        <w:rPr>
          <w:rFonts w:ascii="Tahoma" w:hAnsi="Tahoma" w:cs="Tahoma"/>
          <w:bCs/>
          <w:lang w:val="id-ID"/>
        </w:rPr>
        <w:t xml:space="preserve">erubahan APBD </w:t>
      </w:r>
      <w:r>
        <w:rPr>
          <w:rFonts w:ascii="Tahoma" w:hAnsi="Tahoma" w:cs="Tahoma"/>
          <w:bCs/>
        </w:rPr>
        <w:t>dengan anggaran sebesar Rp. 866.616.200,-</w:t>
      </w:r>
    </w:p>
    <w:p>
      <w:pPr>
        <w:numPr>
          <w:ilvl w:val="1"/>
          <w:numId w:val="34"/>
        </w:numPr>
        <w:autoSpaceDE w:val="0"/>
        <w:autoSpaceDN w:val="0"/>
        <w:adjustRightInd w:val="0"/>
        <w:spacing w:after="0" w:line="360" w:lineRule="auto"/>
        <w:ind w:left="1100" w:hanging="442"/>
        <w:jc w:val="both"/>
        <w:rPr>
          <w:rFonts w:ascii="Tahoma" w:hAnsi="Tahoma" w:cs="Tahoma"/>
          <w:bCs/>
          <w:lang w:val="id-ID"/>
        </w:rPr>
      </w:pPr>
      <w:r>
        <w:rPr>
          <w:rFonts w:ascii="Tahoma" w:hAnsi="Tahoma" w:cs="Tahoma"/>
          <w:bCs/>
          <w:lang w:val="id-ID"/>
        </w:rPr>
        <w:t xml:space="preserve">Penyusunan </w:t>
      </w:r>
      <w:r>
        <w:rPr>
          <w:rFonts w:ascii="Tahoma" w:hAnsi="Tahoma" w:cs="Tahoma"/>
          <w:bCs/>
        </w:rPr>
        <w:t>P</w:t>
      </w:r>
      <w:r>
        <w:rPr>
          <w:rFonts w:ascii="Tahoma" w:hAnsi="Tahoma" w:cs="Tahoma"/>
          <w:bCs/>
          <w:lang w:val="id-ID"/>
        </w:rPr>
        <w:t xml:space="preserve">eraturan Gubernur tentang </w:t>
      </w:r>
      <w:r>
        <w:rPr>
          <w:rFonts w:ascii="Tahoma" w:hAnsi="Tahoma" w:cs="Tahoma"/>
          <w:bCs/>
        </w:rPr>
        <w:t>P</w:t>
      </w:r>
      <w:r>
        <w:rPr>
          <w:rFonts w:ascii="Tahoma" w:hAnsi="Tahoma" w:cs="Tahoma"/>
          <w:bCs/>
          <w:lang w:val="id-ID"/>
        </w:rPr>
        <w:t xml:space="preserve">enjabaran </w:t>
      </w:r>
      <w:r>
        <w:rPr>
          <w:rFonts w:ascii="Tahoma" w:hAnsi="Tahoma" w:cs="Tahoma"/>
          <w:bCs/>
        </w:rPr>
        <w:t>P</w:t>
      </w:r>
      <w:r>
        <w:rPr>
          <w:rFonts w:ascii="Tahoma" w:hAnsi="Tahoma" w:cs="Tahoma"/>
          <w:bCs/>
          <w:lang w:val="id-ID"/>
        </w:rPr>
        <w:t>erubahan APBD</w:t>
      </w:r>
      <w:r>
        <w:rPr>
          <w:rFonts w:ascii="Tahoma" w:hAnsi="Tahoma" w:cs="Tahoma"/>
          <w:bCs/>
        </w:rPr>
        <w:t xml:space="preserve"> dengan anggaran sebesar Rp. 252.897.250,-</w:t>
      </w:r>
    </w:p>
    <w:p>
      <w:pPr>
        <w:numPr>
          <w:ilvl w:val="1"/>
          <w:numId w:val="34"/>
        </w:numPr>
        <w:autoSpaceDE w:val="0"/>
        <w:autoSpaceDN w:val="0"/>
        <w:adjustRightInd w:val="0"/>
        <w:spacing w:after="0" w:line="360" w:lineRule="auto"/>
        <w:ind w:left="1100" w:hanging="442"/>
        <w:jc w:val="both"/>
        <w:rPr>
          <w:rFonts w:ascii="Tahoma" w:hAnsi="Tahoma" w:cs="Tahoma"/>
          <w:bCs/>
          <w:lang w:val="id-ID"/>
        </w:rPr>
      </w:pPr>
      <w:r>
        <w:rPr>
          <w:rFonts w:ascii="Tahoma" w:hAnsi="Tahoma" w:cs="Tahoma"/>
          <w:bCs/>
          <w:lang w:val="id-ID"/>
        </w:rPr>
        <w:t xml:space="preserve">Verifikasi DPA-OPD, DPPA-OPD </w:t>
      </w:r>
      <w:r>
        <w:rPr>
          <w:rFonts w:ascii="Tahoma" w:hAnsi="Tahoma" w:cs="Tahoma"/>
          <w:bCs/>
        </w:rPr>
        <w:t>d</w:t>
      </w:r>
      <w:r>
        <w:rPr>
          <w:rFonts w:ascii="Tahoma" w:hAnsi="Tahoma" w:cs="Tahoma"/>
          <w:bCs/>
          <w:lang w:val="id-ID"/>
        </w:rPr>
        <w:t>an Pergeseran DPA-OPD</w:t>
      </w:r>
      <w:r>
        <w:rPr>
          <w:rFonts w:ascii="Tahoma" w:hAnsi="Tahoma" w:cs="Tahoma"/>
          <w:bCs/>
        </w:rPr>
        <w:t xml:space="preserve"> dengan anggaran sebesar Rp. 383.471.341,-</w:t>
      </w:r>
    </w:p>
    <w:p>
      <w:pPr>
        <w:numPr>
          <w:ilvl w:val="1"/>
          <w:numId w:val="34"/>
        </w:numPr>
        <w:autoSpaceDE w:val="0"/>
        <w:autoSpaceDN w:val="0"/>
        <w:adjustRightInd w:val="0"/>
        <w:spacing w:before="100" w:after="0" w:line="360" w:lineRule="auto"/>
        <w:ind w:left="1103" w:hanging="443"/>
        <w:jc w:val="both"/>
        <w:rPr>
          <w:rFonts w:ascii="Tahoma" w:hAnsi="Tahoma" w:cs="Tahoma"/>
          <w:bCs/>
          <w:lang w:val="id-ID"/>
        </w:rPr>
      </w:pPr>
      <w:r>
        <w:rPr>
          <w:rFonts w:ascii="Tahoma" w:hAnsi="Tahoma" w:cs="Tahoma"/>
          <w:bCs/>
          <w:lang w:val="id-ID"/>
        </w:rPr>
        <w:t xml:space="preserve">Bimbingan Teknis dan Pelatihan Peningkatan SDM Berbasis Teknologi Informasi </w:t>
      </w:r>
      <w:r>
        <w:rPr>
          <w:rFonts w:ascii="Tahoma" w:hAnsi="Tahoma" w:cs="Tahoma"/>
          <w:bCs/>
        </w:rPr>
        <w:t xml:space="preserve"> dengan anggaran sebesar Rp. 64.335.900,-</w:t>
      </w:r>
    </w:p>
    <w:p>
      <w:pPr>
        <w:numPr>
          <w:ilvl w:val="1"/>
          <w:numId w:val="34"/>
        </w:numPr>
        <w:autoSpaceDE w:val="0"/>
        <w:autoSpaceDN w:val="0"/>
        <w:adjustRightInd w:val="0"/>
        <w:spacing w:before="100" w:after="0" w:line="360" w:lineRule="auto"/>
        <w:ind w:left="1103" w:hanging="443"/>
        <w:jc w:val="both"/>
        <w:rPr>
          <w:rFonts w:ascii="Tahoma" w:hAnsi="Tahoma" w:cs="Tahoma"/>
          <w:bCs/>
          <w:lang w:val="id-ID"/>
        </w:rPr>
      </w:pPr>
      <w:r>
        <w:rPr>
          <w:rFonts w:ascii="Tahoma" w:hAnsi="Tahoma" w:cs="Tahoma"/>
          <w:bCs/>
          <w:lang w:val="id-ID"/>
        </w:rPr>
        <w:t xml:space="preserve">Pengembangan Sistem Informasi Pengelolaan Keuangan Daerah (SIPKD) </w:t>
      </w:r>
      <w:r>
        <w:rPr>
          <w:rFonts w:ascii="Tahoma" w:hAnsi="Tahoma" w:cs="Tahoma"/>
          <w:bCs/>
        </w:rPr>
        <w:t>dengan anggaran sebesar 684.849.700,-</w:t>
      </w:r>
    </w:p>
    <w:p>
      <w:pPr>
        <w:numPr>
          <w:ilvl w:val="1"/>
          <w:numId w:val="34"/>
        </w:numPr>
        <w:autoSpaceDE w:val="0"/>
        <w:autoSpaceDN w:val="0"/>
        <w:adjustRightInd w:val="0"/>
        <w:spacing w:before="100" w:after="0" w:line="360" w:lineRule="auto"/>
        <w:ind w:left="1103" w:hanging="443"/>
        <w:jc w:val="both"/>
        <w:rPr>
          <w:rFonts w:ascii="Tahoma" w:hAnsi="Tahoma" w:cs="Tahoma"/>
          <w:bCs/>
          <w:lang w:val="id-ID"/>
        </w:rPr>
      </w:pPr>
      <w:r>
        <w:rPr>
          <w:rFonts w:ascii="Tahoma" w:hAnsi="Tahoma" w:cs="Tahoma"/>
          <w:bCs/>
          <w:lang w:val="id-ID"/>
        </w:rPr>
        <w:t xml:space="preserve">Penetapan Pengelola Keuangan, Penerima Hibah, Bantuan Keuangan dan Bantuan Operasional </w:t>
      </w:r>
      <w:r>
        <w:rPr>
          <w:rFonts w:ascii="Tahoma" w:hAnsi="Tahoma" w:cs="Tahoma"/>
          <w:bCs/>
        </w:rPr>
        <w:t xml:space="preserve"> dengan anggaran sebesar Rp. 93.875.100,-</w:t>
      </w:r>
    </w:p>
    <w:p>
      <w:pPr>
        <w:numPr>
          <w:ilvl w:val="1"/>
          <w:numId w:val="34"/>
        </w:numPr>
        <w:autoSpaceDE w:val="0"/>
        <w:autoSpaceDN w:val="0"/>
        <w:adjustRightInd w:val="0"/>
        <w:spacing w:before="100" w:after="0" w:line="360" w:lineRule="auto"/>
        <w:ind w:left="1103" w:hanging="443"/>
        <w:jc w:val="both"/>
        <w:rPr>
          <w:rFonts w:ascii="Tahoma" w:hAnsi="Tahoma" w:cs="Tahoma"/>
          <w:bCs/>
          <w:lang w:val="id-ID"/>
        </w:rPr>
      </w:pPr>
      <w:r>
        <w:rPr>
          <w:rFonts w:ascii="Tahoma" w:hAnsi="Tahoma" w:cs="Tahoma"/>
          <w:bCs/>
          <w:lang w:val="id-ID"/>
        </w:rPr>
        <w:t>Sosialisasi Peraturan Perundang-undangan tentang Penatausahaaan Keuangan Kepada OPD Lingkup Provinsi Sum</w:t>
      </w:r>
      <w:r>
        <w:rPr>
          <w:rFonts w:ascii="Tahoma" w:hAnsi="Tahoma" w:cs="Tahoma"/>
          <w:bCs/>
        </w:rPr>
        <w:t>atera Baratdengan anggaran sebesar Rp. 20.002.400,-</w:t>
      </w:r>
    </w:p>
    <w:p>
      <w:pPr>
        <w:numPr>
          <w:ilvl w:val="1"/>
          <w:numId w:val="34"/>
        </w:numPr>
        <w:autoSpaceDE w:val="0"/>
        <w:autoSpaceDN w:val="0"/>
        <w:adjustRightInd w:val="0"/>
        <w:spacing w:before="100" w:after="0" w:line="360" w:lineRule="auto"/>
        <w:ind w:left="1103" w:hanging="443"/>
        <w:jc w:val="both"/>
        <w:rPr>
          <w:rFonts w:ascii="Tahoma" w:hAnsi="Tahoma" w:cs="Tahoma"/>
          <w:bCs/>
          <w:lang w:val="id-ID"/>
        </w:rPr>
      </w:pPr>
      <w:r>
        <w:rPr>
          <w:rFonts w:ascii="Tahoma" w:hAnsi="Tahoma" w:cs="Tahoma"/>
          <w:bCs/>
          <w:lang w:val="id-ID"/>
        </w:rPr>
        <w:t xml:space="preserve">Rekonsiliasi Dana Tranfer, Belanja Pegawai dan Daftar Transaksi Harian dan Rekapitulasi Harian </w:t>
      </w:r>
      <w:r>
        <w:rPr>
          <w:rFonts w:ascii="Tahoma" w:hAnsi="Tahoma" w:cs="Tahoma"/>
          <w:bCs/>
        </w:rPr>
        <w:t>dengan anggaran sebesar Rp. 251.229.600,-</w:t>
      </w:r>
    </w:p>
    <w:p>
      <w:pPr>
        <w:numPr>
          <w:ilvl w:val="1"/>
          <w:numId w:val="34"/>
        </w:numPr>
        <w:autoSpaceDE w:val="0"/>
        <w:autoSpaceDN w:val="0"/>
        <w:adjustRightInd w:val="0"/>
        <w:spacing w:before="100" w:after="0" w:line="360" w:lineRule="auto"/>
        <w:ind w:left="1103" w:hanging="443"/>
        <w:jc w:val="both"/>
        <w:rPr>
          <w:rFonts w:ascii="Tahoma" w:hAnsi="Tahoma" w:cs="Tahoma"/>
          <w:bCs/>
          <w:lang w:val="id-ID"/>
        </w:rPr>
      </w:pPr>
      <w:r>
        <w:rPr>
          <w:rFonts w:ascii="Tahoma" w:hAnsi="Tahoma" w:cs="Tahoma"/>
          <w:bCs/>
          <w:lang w:val="id-ID"/>
        </w:rPr>
        <w:t>Penyusunan Laporan Pertanggungjawaban Pelaksanaan APBD</w:t>
      </w:r>
      <w:r>
        <w:rPr>
          <w:rFonts w:ascii="Tahoma" w:hAnsi="Tahoma" w:cs="Tahoma"/>
          <w:bCs/>
        </w:rPr>
        <w:t xml:space="preserve"> dengan anggaran sebesar Rp. 616.866.900,-</w:t>
      </w:r>
    </w:p>
    <w:p>
      <w:pPr>
        <w:pStyle w:val="30"/>
        <w:spacing w:line="240" w:lineRule="auto"/>
        <w:ind w:left="642" w:leftChars="292"/>
        <w:jc w:val="both"/>
        <w:rPr>
          <w:rFonts w:ascii="Tahoma" w:hAnsi="Tahoma" w:cs="Tahoma"/>
        </w:rPr>
      </w:pPr>
    </w:p>
    <w:p>
      <w:pPr>
        <w:pStyle w:val="30"/>
        <w:spacing w:line="240" w:lineRule="auto"/>
        <w:ind w:left="0"/>
        <w:jc w:val="both"/>
        <w:rPr>
          <w:rFonts w:ascii="Tahoma" w:hAnsi="Tahoma" w:cs="Tahoma"/>
        </w:rPr>
      </w:pPr>
    </w:p>
    <w:p>
      <w:pPr>
        <w:pStyle w:val="20"/>
        <w:numPr>
          <w:ilvl w:val="0"/>
          <w:numId w:val="28"/>
        </w:numPr>
        <w:tabs>
          <w:tab w:val="left" w:pos="660"/>
        </w:tabs>
        <w:spacing w:line="360" w:lineRule="auto"/>
        <w:ind w:left="907" w:leftChars="100" w:hanging="687" w:hangingChars="312"/>
        <w:jc w:val="both"/>
        <w:rPr>
          <w:rFonts w:ascii="Tahoma" w:hAnsi="Tahoma" w:cs="Tahoma"/>
          <w:color w:val="000000"/>
          <w:sz w:val="22"/>
          <w:szCs w:val="22"/>
          <w:lang w:val="id-ID"/>
        </w:rPr>
      </w:pPr>
      <w:r>
        <w:rPr>
          <w:rFonts w:ascii="Tahoma" w:hAnsi="Tahoma" w:cs="Tahoma"/>
          <w:sz w:val="22"/>
          <w:szCs w:val="22"/>
          <w:lang w:val="id-ID"/>
        </w:rPr>
        <w:t>Meningkatnya Kualitas APBD Kabupaten/Kota</w:t>
      </w:r>
    </w:p>
    <w:p>
      <w:pPr>
        <w:pStyle w:val="30"/>
        <w:tabs>
          <w:tab w:val="left" w:pos="709"/>
        </w:tabs>
        <w:spacing w:afterLines="100" w:line="360" w:lineRule="auto"/>
        <w:ind w:left="664" w:leftChars="100" w:hanging="444" w:hangingChars="202"/>
        <w:jc w:val="both"/>
        <w:rPr>
          <w:rFonts w:ascii="Tahoma" w:hAnsi="Tahoma" w:cs="Tahoma"/>
          <w:color w:val="000000"/>
          <w:lang w:val="id-ID"/>
        </w:rPr>
      </w:pPr>
      <w:r>
        <w:rPr>
          <w:rFonts w:ascii="Tahoma" w:hAnsi="Tahoma" w:cs="Tahoma"/>
          <w:color w:val="000000"/>
        </w:rPr>
        <w:tab/>
      </w:r>
      <w:r>
        <w:rPr>
          <w:rFonts w:ascii="Tahoma" w:hAnsi="Tahoma" w:cs="Tahoma"/>
          <w:color w:val="000000"/>
          <w:lang w:val="id-ID"/>
        </w:rPr>
        <w:t>Berdasarkan UU No</w:t>
      </w:r>
      <w:r>
        <w:rPr>
          <w:rFonts w:ascii="Tahoma" w:hAnsi="Tahoma" w:cs="Tahoma"/>
          <w:color w:val="000000"/>
        </w:rPr>
        <w:t>mor</w:t>
      </w:r>
      <w:r>
        <w:rPr>
          <w:rFonts w:ascii="Tahoma" w:hAnsi="Tahoma" w:cs="Tahoma"/>
          <w:color w:val="000000"/>
          <w:lang w:val="id-ID"/>
        </w:rPr>
        <w:t xml:space="preserve"> 32 Tahun 2004 tentang Pemerintah Daerah</w:t>
      </w:r>
      <w:r>
        <w:rPr>
          <w:rFonts w:ascii="Tahoma" w:hAnsi="Tahoma" w:cs="Tahoma"/>
          <w:color w:val="000000"/>
        </w:rPr>
        <w:t xml:space="preserve"> dinyatakan</w:t>
      </w:r>
      <w:r>
        <w:rPr>
          <w:rFonts w:ascii="Tahoma" w:hAnsi="Tahoma" w:cs="Tahoma"/>
          <w:color w:val="000000"/>
          <w:lang w:val="id-ID"/>
        </w:rPr>
        <w:t xml:space="preserve"> bahwa Pemerintah Provinsi selaku wakil Pemerintah Pusat di daerah berkewajiban melakukan pembinaan kepada Pemerintah Kabupaten/Kota diwilayahnya dan PP </w:t>
      </w:r>
      <w:r>
        <w:rPr>
          <w:rFonts w:ascii="Tahoma" w:hAnsi="Tahoma" w:cs="Tahoma"/>
          <w:color w:val="000000"/>
        </w:rPr>
        <w:t>Nomor</w:t>
      </w:r>
      <w:r>
        <w:rPr>
          <w:rFonts w:ascii="Tahoma" w:hAnsi="Tahoma" w:cs="Tahoma"/>
          <w:color w:val="000000"/>
          <w:lang w:val="id-ID"/>
        </w:rPr>
        <w:t xml:space="preserve"> 13 </w:t>
      </w:r>
      <w:r>
        <w:rPr>
          <w:rFonts w:ascii="Tahoma" w:hAnsi="Tahoma" w:cs="Tahoma"/>
          <w:color w:val="000000"/>
        </w:rPr>
        <w:t>T</w:t>
      </w:r>
      <w:r>
        <w:rPr>
          <w:rFonts w:ascii="Tahoma" w:hAnsi="Tahoma" w:cs="Tahoma"/>
          <w:color w:val="000000"/>
          <w:lang w:val="id-ID"/>
        </w:rPr>
        <w:t xml:space="preserve">ahun 2018 tentang pelaksanaan tugas dan wewenang Gubernur sebagai wakil Pemerintah Pusat. Pembinaan tersebut diwujudkan dalam bentuk supervisi, asistensi, fasilitasi, evaluasi, yang pada </w:t>
      </w:r>
      <w:r>
        <w:rPr>
          <w:rFonts w:ascii="Tahoma" w:hAnsi="Tahoma" w:cs="Tahoma"/>
          <w:color w:val="000000"/>
        </w:rPr>
        <w:t>akhir</w:t>
      </w:r>
      <w:r>
        <w:rPr>
          <w:rFonts w:ascii="Tahoma" w:hAnsi="Tahoma" w:cs="Tahoma"/>
          <w:color w:val="000000"/>
          <w:lang w:val="id-ID"/>
        </w:rPr>
        <w:t>nya akan bermuara kepada beberapa indikator kinerja yang menggambarkan komposisi ideal sebuah APBD di Kabupaten/</w:t>
      </w:r>
      <w:r>
        <w:rPr>
          <w:rFonts w:ascii="Tahoma" w:hAnsi="Tahoma" w:cs="Tahoma"/>
          <w:color w:val="000000"/>
        </w:rPr>
        <w:t>K</w:t>
      </w:r>
      <w:r>
        <w:rPr>
          <w:rFonts w:ascii="Tahoma" w:hAnsi="Tahoma" w:cs="Tahoma"/>
          <w:color w:val="000000"/>
          <w:lang w:val="id-ID"/>
        </w:rPr>
        <w:t>ota ses</w:t>
      </w:r>
      <w:r>
        <w:rPr>
          <w:rFonts w:ascii="Tahoma" w:hAnsi="Tahoma" w:cs="Tahoma"/>
          <w:color w:val="000000"/>
        </w:rPr>
        <w:t>uai</w:t>
      </w:r>
      <w:r>
        <w:rPr>
          <w:rFonts w:ascii="Tahoma" w:hAnsi="Tahoma" w:cs="Tahoma"/>
          <w:color w:val="000000"/>
          <w:lang w:val="id-ID"/>
        </w:rPr>
        <w:t xml:space="preserve"> dengan peraturan dan perundangan yang berlaku. Outcome dari program ini yaitu meningkatnya pengelolaan kualitas APBD Kab</w:t>
      </w:r>
      <w:r>
        <w:rPr>
          <w:rFonts w:ascii="Tahoma" w:hAnsi="Tahoma" w:cs="Tahoma"/>
          <w:color w:val="000000"/>
        </w:rPr>
        <w:t>upaten</w:t>
      </w:r>
      <w:r>
        <w:rPr>
          <w:rFonts w:ascii="Tahoma" w:hAnsi="Tahoma" w:cs="Tahoma"/>
          <w:color w:val="000000"/>
          <w:lang w:val="id-ID"/>
        </w:rPr>
        <w:t>/Kota. Adapun realisasi  sasaran strategis meningkatnya kualitas APBD Kabu</w:t>
      </w:r>
      <w:r>
        <w:rPr>
          <w:rFonts w:ascii="Tahoma" w:hAnsi="Tahoma" w:cs="Tahoma"/>
          <w:color w:val="000000"/>
        </w:rPr>
        <w:t>pa</w:t>
      </w:r>
      <w:r>
        <w:rPr>
          <w:rFonts w:ascii="Tahoma" w:hAnsi="Tahoma" w:cs="Tahoma"/>
          <w:color w:val="000000"/>
          <w:lang w:val="id-ID"/>
        </w:rPr>
        <w:t>ten/Kota tahun 20</w:t>
      </w:r>
      <w:r>
        <w:rPr>
          <w:rFonts w:ascii="Tahoma" w:hAnsi="Tahoma" w:cs="Tahoma"/>
          <w:color w:val="000000"/>
        </w:rPr>
        <w:t>20</w:t>
      </w:r>
      <w:r>
        <w:rPr>
          <w:rFonts w:ascii="Tahoma" w:hAnsi="Tahoma" w:cs="Tahoma"/>
          <w:color w:val="000000"/>
          <w:lang w:val="id-ID"/>
        </w:rPr>
        <w:t xml:space="preserve"> dapat dilihat sebagaimana tabel  </w:t>
      </w:r>
      <w:r>
        <w:rPr>
          <w:rFonts w:hint="default" w:ascii="Tahoma" w:hAnsi="Tahoma" w:cs="Tahoma"/>
          <w:color w:val="000000"/>
          <w:lang w:val="en-US"/>
        </w:rPr>
        <w:t>berikut</w:t>
      </w:r>
      <w:r>
        <w:rPr>
          <w:rFonts w:ascii="Tahoma" w:hAnsi="Tahoma" w:cs="Tahoma"/>
          <w:color w:val="000000"/>
          <w:lang w:val="id-ID"/>
        </w:rPr>
        <w:t xml:space="preserve"> ini: </w:t>
      </w:r>
    </w:p>
    <w:p>
      <w:pPr>
        <w:pStyle w:val="30"/>
        <w:tabs>
          <w:tab w:val="left" w:pos="709"/>
        </w:tabs>
        <w:spacing w:afterLines="100" w:line="360" w:lineRule="auto"/>
        <w:ind w:left="664" w:leftChars="100" w:hanging="444" w:hangingChars="202"/>
        <w:jc w:val="both"/>
        <w:rPr>
          <w:rFonts w:ascii="Tahoma" w:hAnsi="Tahoma" w:cs="Tahoma"/>
          <w:color w:val="000000"/>
          <w:lang w:val="id-ID"/>
        </w:rPr>
      </w:pPr>
    </w:p>
    <w:p>
      <w:pPr>
        <w:pStyle w:val="30"/>
        <w:tabs>
          <w:tab w:val="left" w:pos="709"/>
        </w:tabs>
        <w:spacing w:afterLines="100" w:line="360" w:lineRule="auto"/>
        <w:ind w:left="664" w:leftChars="100" w:hanging="444" w:hangingChars="202"/>
        <w:jc w:val="both"/>
        <w:rPr>
          <w:rFonts w:ascii="Tahoma" w:hAnsi="Tahoma" w:cs="Tahoma"/>
          <w:color w:val="000000"/>
          <w:lang w:val="id-ID"/>
        </w:rPr>
      </w:pPr>
    </w:p>
    <w:p>
      <w:pPr>
        <w:pStyle w:val="30"/>
        <w:tabs>
          <w:tab w:val="left" w:pos="709"/>
        </w:tabs>
        <w:spacing w:afterLines="100" w:line="360" w:lineRule="auto"/>
        <w:ind w:left="664" w:leftChars="100" w:hanging="444" w:hangingChars="202"/>
        <w:jc w:val="both"/>
        <w:rPr>
          <w:rFonts w:ascii="Tahoma" w:hAnsi="Tahoma" w:cs="Tahoma"/>
          <w:color w:val="000000"/>
          <w:lang w:val="id-ID"/>
        </w:rPr>
      </w:pPr>
    </w:p>
    <w:p>
      <w:pPr>
        <w:pStyle w:val="30"/>
        <w:tabs>
          <w:tab w:val="left" w:pos="709"/>
        </w:tabs>
        <w:spacing w:afterLines="100" w:line="360" w:lineRule="auto"/>
        <w:ind w:left="664" w:leftChars="100" w:hanging="444" w:hangingChars="202"/>
        <w:jc w:val="both"/>
        <w:rPr>
          <w:rFonts w:ascii="Tahoma" w:hAnsi="Tahoma" w:cs="Tahoma"/>
          <w:color w:val="000000"/>
          <w:lang w:val="id-ID"/>
        </w:rPr>
      </w:pPr>
    </w:p>
    <w:p>
      <w:pPr>
        <w:pStyle w:val="20"/>
        <w:numPr>
          <w:ilvl w:val="0"/>
          <w:numId w:val="0"/>
        </w:numPr>
        <w:spacing w:afterLines="50"/>
        <w:ind w:left="880" w:leftChars="400"/>
        <w:rPr>
          <w:rFonts w:hint="default" w:ascii="Tahoma" w:hAnsi="Tahoma" w:cs="Tahoma"/>
          <w:bCs w:val="0"/>
          <w:color w:val="000000"/>
          <w:sz w:val="22"/>
          <w:szCs w:val="22"/>
          <w:lang w:val="en-US"/>
        </w:rPr>
      </w:pPr>
      <w:r>
        <w:rPr>
          <w:rFonts w:ascii="Tahoma" w:hAnsi="Tahoma" w:cs="Tahoma"/>
          <w:bCs w:val="0"/>
          <w:color w:val="000000"/>
          <w:sz w:val="22"/>
          <w:szCs w:val="22"/>
          <w:lang w:val="id-ID"/>
        </w:rPr>
        <w:t xml:space="preserve">Tabel </w:t>
      </w:r>
      <w:r>
        <w:rPr>
          <w:rFonts w:ascii="Tahoma" w:hAnsi="Tahoma" w:cs="Tahoma"/>
          <w:bCs w:val="0"/>
          <w:color w:val="000000"/>
          <w:sz w:val="22"/>
          <w:szCs w:val="22"/>
        </w:rPr>
        <w:t>3.</w:t>
      </w:r>
      <w:r>
        <w:rPr>
          <w:rFonts w:hint="default" w:ascii="Tahoma" w:hAnsi="Tahoma" w:cs="Tahoma"/>
          <w:bCs w:val="0"/>
          <w:color w:val="000000"/>
          <w:sz w:val="22"/>
          <w:szCs w:val="22"/>
          <w:lang w:val="en-US"/>
        </w:rPr>
        <w:t>5</w:t>
      </w:r>
    </w:p>
    <w:p>
      <w:pPr>
        <w:pStyle w:val="20"/>
        <w:numPr>
          <w:ilvl w:val="0"/>
          <w:numId w:val="0"/>
        </w:numPr>
        <w:ind w:left="880" w:leftChars="400"/>
        <w:rPr>
          <w:rFonts w:ascii="Tahoma" w:hAnsi="Tahoma" w:cs="Tahoma"/>
          <w:bCs w:val="0"/>
          <w:color w:val="000000"/>
          <w:sz w:val="22"/>
          <w:szCs w:val="22"/>
          <w:lang w:val="id-ID"/>
        </w:rPr>
      </w:pPr>
      <w:r>
        <w:rPr>
          <w:rFonts w:ascii="Tahoma" w:hAnsi="Tahoma" w:cs="Tahoma"/>
          <w:bCs w:val="0"/>
          <w:color w:val="000000"/>
          <w:sz w:val="22"/>
          <w:szCs w:val="22"/>
          <w:lang w:val="id-ID"/>
        </w:rPr>
        <w:t>Pengukuran Kinerja</w:t>
      </w:r>
    </w:p>
    <w:p>
      <w:pPr>
        <w:pStyle w:val="20"/>
        <w:numPr>
          <w:ilvl w:val="0"/>
          <w:numId w:val="0"/>
        </w:numPr>
        <w:ind w:left="880" w:leftChars="400"/>
        <w:rPr>
          <w:color w:val="000000"/>
        </w:rPr>
      </w:pPr>
      <w:r>
        <w:rPr>
          <w:rFonts w:ascii="Tahoma" w:hAnsi="Tahoma" w:cs="Tahoma"/>
          <w:bCs w:val="0"/>
          <w:color w:val="000000"/>
          <w:sz w:val="22"/>
          <w:szCs w:val="22"/>
          <w:lang w:val="id-ID"/>
        </w:rPr>
        <w:t xml:space="preserve">Meningkatnya Kualitas </w:t>
      </w:r>
      <w:r>
        <w:rPr>
          <w:rFonts w:ascii="Tahoma" w:hAnsi="Tahoma" w:cs="Tahoma"/>
          <w:bCs w:val="0"/>
          <w:color w:val="000000"/>
          <w:sz w:val="22"/>
          <w:szCs w:val="22"/>
        </w:rPr>
        <w:t xml:space="preserve">APBD </w:t>
      </w:r>
      <w:r>
        <w:rPr>
          <w:rFonts w:ascii="Tahoma" w:hAnsi="Tahoma" w:cs="Tahoma"/>
          <w:bCs w:val="0"/>
          <w:color w:val="000000"/>
          <w:sz w:val="22"/>
          <w:szCs w:val="22"/>
          <w:lang w:val="id-ID"/>
        </w:rPr>
        <w:t xml:space="preserve">Kabupaten/Kota </w:t>
      </w:r>
      <w:r>
        <w:rPr>
          <w:rFonts w:ascii="Tahoma" w:hAnsi="Tahoma" w:cs="Tahoma"/>
          <w:bCs w:val="0"/>
          <w:color w:val="000000"/>
          <w:sz w:val="22"/>
          <w:szCs w:val="22"/>
        </w:rPr>
        <w:t xml:space="preserve">Tahun </w:t>
      </w:r>
      <w:r>
        <w:rPr>
          <w:rFonts w:ascii="Tahoma" w:hAnsi="Tahoma" w:cs="Tahoma"/>
          <w:bCs w:val="0"/>
          <w:color w:val="000000"/>
          <w:sz w:val="22"/>
          <w:szCs w:val="22"/>
          <w:lang w:val="id-ID"/>
        </w:rPr>
        <w:t>20</w:t>
      </w:r>
      <w:r>
        <w:rPr>
          <w:rFonts w:ascii="Tahoma" w:hAnsi="Tahoma" w:cs="Tahoma"/>
          <w:bCs w:val="0"/>
          <w:color w:val="000000"/>
          <w:sz w:val="22"/>
          <w:szCs w:val="22"/>
        </w:rPr>
        <w:t>19</w:t>
      </w:r>
    </w:p>
    <w:tbl>
      <w:tblPr>
        <w:tblStyle w:val="7"/>
        <w:tblW w:w="7755" w:type="dxa"/>
        <w:tblInd w:w="1331" w:type="dxa"/>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Layout w:type="fixed"/>
        <w:tblCellMar>
          <w:top w:w="0" w:type="dxa"/>
          <w:left w:w="108" w:type="dxa"/>
          <w:bottom w:w="0" w:type="dxa"/>
          <w:right w:w="108" w:type="dxa"/>
        </w:tblCellMar>
      </w:tblPr>
      <w:tblGrid>
        <w:gridCol w:w="547"/>
        <w:gridCol w:w="1741"/>
        <w:gridCol w:w="2757"/>
        <w:gridCol w:w="1088"/>
        <w:gridCol w:w="871"/>
        <w:gridCol w:w="751"/>
      </w:tblGrid>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rPr>
          <w:trHeight w:val="519" w:hRule="atLeast"/>
        </w:trPr>
        <w:tc>
          <w:tcPr>
            <w:tcW w:w="547" w:type="dxa"/>
            <w:vMerge w:val="restart"/>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No</w:t>
            </w:r>
          </w:p>
        </w:tc>
        <w:tc>
          <w:tcPr>
            <w:tcW w:w="1741" w:type="dxa"/>
            <w:vMerge w:val="restart"/>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SASARAN STRATEGIS</w:t>
            </w:r>
          </w:p>
        </w:tc>
        <w:tc>
          <w:tcPr>
            <w:tcW w:w="2757" w:type="dxa"/>
            <w:vMerge w:val="restart"/>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INDIKATOR KINERJA</w:t>
            </w:r>
          </w:p>
        </w:tc>
        <w:tc>
          <w:tcPr>
            <w:tcW w:w="2710" w:type="dxa"/>
            <w:gridSpan w:val="3"/>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CAPAIAN KINERJA</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rPr>
          <w:trHeight w:val="147" w:hRule="atLeast"/>
        </w:trPr>
        <w:tc>
          <w:tcPr>
            <w:tcW w:w="547" w:type="dxa"/>
            <w:vMerge w:val="continue"/>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p>
        </w:tc>
        <w:tc>
          <w:tcPr>
            <w:tcW w:w="1741" w:type="dxa"/>
            <w:vMerge w:val="continue"/>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p>
        </w:tc>
        <w:tc>
          <w:tcPr>
            <w:tcW w:w="2757" w:type="dxa"/>
            <w:vMerge w:val="continue"/>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p>
        </w:tc>
        <w:tc>
          <w:tcPr>
            <w:tcW w:w="1088" w:type="dxa"/>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TARGET</w:t>
            </w:r>
          </w:p>
        </w:tc>
        <w:tc>
          <w:tcPr>
            <w:tcW w:w="871" w:type="dxa"/>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REALI SASI</w:t>
            </w:r>
          </w:p>
        </w:tc>
        <w:tc>
          <w:tcPr>
            <w:tcW w:w="751" w:type="dxa"/>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rPr>
          <w:trHeight w:val="565" w:hRule="atLeast"/>
        </w:trPr>
        <w:tc>
          <w:tcPr>
            <w:tcW w:w="547"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rPr>
              <w:t>2</w:t>
            </w:r>
          </w:p>
        </w:tc>
        <w:tc>
          <w:tcPr>
            <w:tcW w:w="1741" w:type="dxa"/>
            <w:shd w:val="clear" w:color="auto" w:fill="FFFFFF"/>
          </w:tcPr>
          <w:p>
            <w:pPr>
              <w:spacing w:after="0" w:line="240" w:lineRule="auto"/>
              <w:rPr>
                <w:rFonts w:ascii="Tahoma" w:hAnsi="Tahoma" w:cs="Tahoma"/>
                <w:sz w:val="18"/>
                <w:szCs w:val="18"/>
              </w:rPr>
            </w:pPr>
            <w:r>
              <w:rPr>
                <w:rFonts w:ascii="Tahoma" w:hAnsi="Tahoma" w:eastAsia="SimSun" w:cs="Tahoma"/>
                <w:b/>
                <w:color w:val="000000"/>
                <w:sz w:val="18"/>
                <w:szCs w:val="18"/>
                <w:lang w:eastAsia="zh-CN"/>
              </w:rPr>
              <w:t xml:space="preserve">Meningkatnya </w:t>
            </w:r>
          </w:p>
          <w:p>
            <w:pPr>
              <w:spacing w:after="0" w:line="240" w:lineRule="auto"/>
              <w:rPr>
                <w:rFonts w:ascii="Tahoma" w:hAnsi="Tahoma" w:cs="Tahoma"/>
                <w:sz w:val="18"/>
                <w:szCs w:val="18"/>
              </w:rPr>
            </w:pPr>
            <w:r>
              <w:rPr>
                <w:rFonts w:ascii="Tahoma" w:hAnsi="Tahoma" w:eastAsia="SimSun" w:cs="Tahoma"/>
                <w:b/>
                <w:color w:val="000000"/>
                <w:sz w:val="18"/>
                <w:szCs w:val="18"/>
                <w:lang w:eastAsia="zh-CN"/>
              </w:rPr>
              <w:t xml:space="preserve">Kualitas APBD </w:t>
            </w:r>
          </w:p>
          <w:p>
            <w:pPr>
              <w:spacing w:after="0" w:line="240" w:lineRule="auto"/>
              <w:rPr>
                <w:rFonts w:ascii="Tahoma" w:hAnsi="Tahoma" w:cs="Tahoma"/>
                <w:sz w:val="18"/>
                <w:szCs w:val="18"/>
              </w:rPr>
            </w:pPr>
            <w:r>
              <w:rPr>
                <w:rFonts w:ascii="Tahoma" w:hAnsi="Tahoma" w:eastAsia="SimSun" w:cs="Tahoma"/>
                <w:b/>
                <w:color w:val="000000"/>
                <w:sz w:val="18"/>
                <w:szCs w:val="18"/>
                <w:lang w:eastAsia="zh-CN"/>
              </w:rPr>
              <w:t>Kabupaten/Kota</w:t>
            </w:r>
          </w:p>
          <w:p>
            <w:pPr>
              <w:spacing w:after="0" w:line="240" w:lineRule="auto"/>
              <w:rPr>
                <w:rFonts w:ascii="Tahoma" w:hAnsi="Tahoma" w:cs="Tahoma"/>
                <w:sz w:val="18"/>
                <w:szCs w:val="18"/>
              </w:rPr>
            </w:pPr>
            <w:r>
              <w:rPr>
                <w:rFonts w:ascii="Tahoma" w:hAnsi="Tahoma" w:eastAsia="SimSun" w:cs="Tahoma"/>
                <w:b/>
                <w:color w:val="000000"/>
                <w:sz w:val="18"/>
                <w:szCs w:val="18"/>
                <w:lang w:eastAsia="zh-CN"/>
              </w:rPr>
              <w:t xml:space="preserve">Meningkatnya </w:t>
            </w:r>
          </w:p>
          <w:p>
            <w:pPr>
              <w:spacing w:after="0" w:line="240" w:lineRule="auto"/>
              <w:rPr>
                <w:rFonts w:ascii="Tahoma" w:hAnsi="Tahoma" w:cs="Tahoma"/>
                <w:sz w:val="18"/>
                <w:szCs w:val="18"/>
              </w:rPr>
            </w:pPr>
            <w:r>
              <w:rPr>
                <w:rFonts w:ascii="Tahoma" w:hAnsi="Tahoma" w:eastAsia="SimSun" w:cs="Tahoma"/>
                <w:b/>
                <w:color w:val="000000"/>
                <w:sz w:val="18"/>
                <w:szCs w:val="18"/>
                <w:lang w:eastAsia="zh-CN"/>
              </w:rPr>
              <w:t xml:space="preserve">Kualitas APBD </w:t>
            </w:r>
          </w:p>
          <w:p>
            <w:pPr>
              <w:spacing w:after="0" w:line="240" w:lineRule="auto"/>
              <w:rPr>
                <w:rFonts w:ascii="Tahoma" w:hAnsi="Tahoma" w:cs="Tahoma"/>
                <w:sz w:val="18"/>
                <w:szCs w:val="18"/>
              </w:rPr>
            </w:pPr>
            <w:r>
              <w:rPr>
                <w:rFonts w:ascii="Tahoma" w:hAnsi="Tahoma" w:eastAsia="SimSun" w:cs="Tahoma"/>
                <w:b/>
                <w:color w:val="000000"/>
                <w:sz w:val="18"/>
                <w:szCs w:val="18"/>
                <w:lang w:eastAsia="zh-CN"/>
              </w:rPr>
              <w:t>Kabupaten/Kota</w:t>
            </w:r>
          </w:p>
          <w:p>
            <w:pPr>
              <w:pStyle w:val="20"/>
              <w:numPr>
                <w:ilvl w:val="0"/>
                <w:numId w:val="0"/>
              </w:numPr>
              <w:jc w:val="left"/>
              <w:rPr>
                <w:rFonts w:ascii="Tahoma" w:hAnsi="Tahoma" w:cs="Tahoma"/>
                <w:bCs w:val="0"/>
                <w:color w:val="000000"/>
                <w:sz w:val="18"/>
                <w:szCs w:val="18"/>
                <w:lang w:val="id-ID"/>
              </w:rPr>
            </w:pPr>
          </w:p>
        </w:tc>
        <w:tc>
          <w:tcPr>
            <w:tcW w:w="2757" w:type="dxa"/>
            <w:shd w:val="clear" w:color="auto" w:fill="FFFFFF"/>
          </w:tcPr>
          <w:p>
            <w:pPr>
              <w:spacing w:after="0" w:line="240" w:lineRule="auto"/>
              <w:ind w:left="219" w:leftChars="0" w:hanging="219" w:hangingChars="122"/>
              <w:rPr>
                <w:rFonts w:ascii="Tahoma" w:hAnsi="Tahoma" w:cs="Tahoma"/>
                <w:sz w:val="18"/>
                <w:szCs w:val="18"/>
              </w:rPr>
            </w:pPr>
            <w:r>
              <w:rPr>
                <w:rFonts w:ascii="Tahoma" w:hAnsi="Tahoma" w:cs="Tahoma"/>
                <w:color w:val="000000"/>
                <w:sz w:val="18"/>
                <w:szCs w:val="18"/>
                <w:lang w:val="id-ID"/>
              </w:rPr>
              <w:t xml:space="preserve">- </w:t>
            </w:r>
            <w:r>
              <w:rPr>
                <w:rFonts w:hint="default" w:ascii="Tahoma" w:hAnsi="Tahoma" w:cs="Tahoma"/>
                <w:color w:val="000000"/>
                <w:sz w:val="18"/>
                <w:szCs w:val="18"/>
                <w:lang w:val="en-US"/>
              </w:rPr>
              <w:t xml:space="preserve">  </w:t>
            </w:r>
            <w:r>
              <w:rPr>
                <w:rFonts w:ascii="Tahoma" w:hAnsi="Tahoma" w:eastAsia="SimSun" w:cs="Tahoma"/>
                <w:color w:val="000000"/>
                <w:sz w:val="18"/>
                <w:szCs w:val="18"/>
                <w:lang w:eastAsia="zh-CN"/>
              </w:rPr>
              <w:t>Persentase Kab</w:t>
            </w:r>
            <w:r>
              <w:rPr>
                <w:rFonts w:hint="default" w:ascii="Tahoma" w:hAnsi="Tahoma" w:eastAsia="SimSun" w:cs="Tahoma"/>
                <w:color w:val="000000"/>
                <w:sz w:val="18"/>
                <w:szCs w:val="18"/>
                <w:lang w:val="en-US" w:eastAsia="zh-CN"/>
              </w:rPr>
              <w:t>upaten</w:t>
            </w:r>
            <w:r>
              <w:rPr>
                <w:rFonts w:ascii="Tahoma" w:hAnsi="Tahoma" w:eastAsia="SimSun" w:cs="Tahoma"/>
                <w:color w:val="000000"/>
                <w:sz w:val="18"/>
                <w:szCs w:val="18"/>
                <w:lang w:eastAsia="zh-CN"/>
              </w:rPr>
              <w:t>/Kota dengan opini WTP</w:t>
            </w:r>
          </w:p>
          <w:p>
            <w:pPr>
              <w:pStyle w:val="20"/>
              <w:numPr>
                <w:ilvl w:val="0"/>
                <w:numId w:val="0"/>
              </w:numPr>
              <w:tabs>
                <w:tab w:val="left" w:pos="175"/>
              </w:tabs>
              <w:ind w:left="175" w:hanging="142"/>
              <w:jc w:val="left"/>
              <w:rPr>
                <w:rFonts w:ascii="Tahoma" w:hAnsi="Tahoma" w:cs="Tahoma"/>
                <w:b w:val="0"/>
                <w:bCs w:val="0"/>
                <w:color w:val="000000"/>
                <w:sz w:val="18"/>
                <w:szCs w:val="18"/>
                <w:lang w:val="id-ID"/>
              </w:rPr>
            </w:pPr>
          </w:p>
        </w:tc>
        <w:tc>
          <w:tcPr>
            <w:tcW w:w="1088" w:type="dxa"/>
            <w:shd w:val="clear" w:color="auto" w:fill="FFFFFF"/>
          </w:tcPr>
          <w:p>
            <w:pPr>
              <w:pStyle w:val="20"/>
              <w:numPr>
                <w:ilvl w:val="0"/>
                <w:numId w:val="0"/>
              </w:numPr>
              <w:spacing w:before="60" w:after="60"/>
              <w:rPr>
                <w:rFonts w:ascii="Tahoma" w:hAnsi="Tahoma" w:cs="Tahoma"/>
                <w:b w:val="0"/>
                <w:bCs w:val="0"/>
                <w:color w:val="000000"/>
                <w:sz w:val="18"/>
                <w:szCs w:val="18"/>
              </w:rPr>
            </w:pPr>
            <w:r>
              <w:rPr>
                <w:rFonts w:ascii="Tahoma" w:hAnsi="Tahoma" w:cs="Tahoma"/>
                <w:b w:val="0"/>
                <w:bCs w:val="0"/>
                <w:color w:val="000000"/>
                <w:sz w:val="18"/>
                <w:szCs w:val="18"/>
              </w:rPr>
              <w:t>100</w:t>
            </w:r>
          </w:p>
        </w:tc>
        <w:tc>
          <w:tcPr>
            <w:tcW w:w="871" w:type="dxa"/>
            <w:shd w:val="clear" w:color="auto" w:fill="FFFFFF"/>
          </w:tcPr>
          <w:p>
            <w:pPr>
              <w:pStyle w:val="20"/>
              <w:numPr>
                <w:ilvl w:val="0"/>
                <w:numId w:val="0"/>
              </w:numPr>
              <w:spacing w:before="60" w:after="60"/>
              <w:rPr>
                <w:rFonts w:ascii="Tahoma" w:hAnsi="Tahoma" w:cs="Tahoma"/>
                <w:b w:val="0"/>
                <w:bCs w:val="0"/>
                <w:sz w:val="18"/>
                <w:szCs w:val="18"/>
              </w:rPr>
            </w:pPr>
            <w:r>
              <w:rPr>
                <w:rFonts w:ascii="Tahoma" w:hAnsi="Tahoma" w:cs="Tahoma"/>
                <w:b w:val="0"/>
                <w:bCs w:val="0"/>
                <w:sz w:val="18"/>
                <w:szCs w:val="18"/>
              </w:rPr>
              <w:t>100</w:t>
            </w:r>
          </w:p>
        </w:tc>
        <w:tc>
          <w:tcPr>
            <w:tcW w:w="751" w:type="dxa"/>
            <w:shd w:val="clear" w:color="auto" w:fill="FFFFFF"/>
          </w:tcPr>
          <w:p>
            <w:pPr>
              <w:pStyle w:val="20"/>
              <w:numPr>
                <w:ilvl w:val="0"/>
                <w:numId w:val="0"/>
              </w:numPr>
              <w:spacing w:before="60" w:after="60"/>
              <w:rPr>
                <w:rFonts w:ascii="Tahoma" w:hAnsi="Tahoma" w:cs="Tahoma"/>
                <w:b w:val="0"/>
                <w:bCs w:val="0"/>
                <w:sz w:val="18"/>
                <w:szCs w:val="18"/>
              </w:rPr>
            </w:pPr>
            <w:r>
              <w:rPr>
                <w:rFonts w:ascii="Tahoma" w:hAnsi="Tahoma" w:cs="Tahoma"/>
                <w:b w:val="0"/>
                <w:bCs w:val="0"/>
                <w:sz w:val="18"/>
                <w:szCs w:val="18"/>
              </w:rPr>
              <w:t>100</w:t>
            </w:r>
          </w:p>
        </w:tc>
      </w:tr>
    </w:tbl>
    <w:p>
      <w:pPr>
        <w:pStyle w:val="20"/>
        <w:numPr>
          <w:ilvl w:val="0"/>
          <w:numId w:val="0"/>
        </w:numPr>
        <w:tabs>
          <w:tab w:val="left" w:pos="851"/>
        </w:tabs>
        <w:jc w:val="both"/>
        <w:rPr>
          <w:rFonts w:ascii="Calibri" w:hAnsi="Calibri" w:cs="Book Antiqua"/>
          <w:color w:val="000000"/>
          <w:sz w:val="26"/>
          <w:szCs w:val="26"/>
          <w:lang w:val="id-ID"/>
        </w:rPr>
      </w:pPr>
    </w:p>
    <w:p>
      <w:pPr>
        <w:pStyle w:val="20"/>
        <w:numPr>
          <w:ilvl w:val="0"/>
          <w:numId w:val="0"/>
        </w:numPr>
        <w:tabs>
          <w:tab w:val="clear" w:pos="1080"/>
        </w:tabs>
        <w:spacing w:before="120" w:afterLines="100" w:line="360" w:lineRule="auto"/>
        <w:ind w:left="660" w:leftChars="300"/>
        <w:jc w:val="both"/>
        <w:rPr>
          <w:rFonts w:hint="default" w:ascii="Tahoma" w:hAnsi="Tahoma" w:cs="Tahoma"/>
          <w:b w:val="0"/>
          <w:sz w:val="22"/>
          <w:szCs w:val="22"/>
          <w:lang w:val="en-US"/>
        </w:rPr>
      </w:pPr>
      <w:r>
        <w:rPr>
          <w:rFonts w:ascii="Tahoma" w:hAnsi="Tahoma" w:cs="Tahoma"/>
          <w:b w:val="0"/>
          <w:sz w:val="22"/>
          <w:szCs w:val="22"/>
          <w:lang w:val="id-ID"/>
        </w:rPr>
        <w:t xml:space="preserve">Untuk penilaian indikator ini diambil dari laporan keuangan Kab/Kota tahun sebelumnya yang telah diaudit oleh BPK, sebab apabila diambil data tahun yang bersangkutan maka data yang diperlukan belum tersedia karena ketika laporan kinerja ini dibuat pemeriksaan terhadap laporan keuangan </w:t>
      </w:r>
      <w:r>
        <w:rPr>
          <w:rFonts w:ascii="Tahoma" w:hAnsi="Tahoma" w:cs="Tahoma"/>
          <w:b w:val="0"/>
          <w:sz w:val="22"/>
          <w:szCs w:val="22"/>
        </w:rPr>
        <w:t>K</w:t>
      </w:r>
      <w:r>
        <w:rPr>
          <w:rFonts w:ascii="Tahoma" w:hAnsi="Tahoma" w:cs="Tahoma"/>
          <w:b w:val="0"/>
          <w:sz w:val="22"/>
          <w:szCs w:val="22"/>
          <w:lang w:val="id-ID"/>
        </w:rPr>
        <w:t>ab/Kota sedang berjalan. Untuk itu tahun 20</w:t>
      </w:r>
      <w:r>
        <w:rPr>
          <w:rFonts w:hint="default" w:ascii="Tahoma" w:hAnsi="Tahoma" w:cs="Tahoma"/>
          <w:b w:val="0"/>
          <w:sz w:val="22"/>
          <w:szCs w:val="22"/>
          <w:lang w:val="en-US"/>
        </w:rPr>
        <w:t>20</w:t>
      </w:r>
      <w:r>
        <w:rPr>
          <w:rFonts w:ascii="Tahoma" w:hAnsi="Tahoma" w:cs="Tahoma"/>
          <w:b w:val="0"/>
          <w:sz w:val="22"/>
          <w:szCs w:val="22"/>
          <w:lang w:val="id-ID"/>
        </w:rPr>
        <w:t xml:space="preserve"> memakai hasil pemeriksaan tahun 20</w:t>
      </w:r>
      <w:r>
        <w:rPr>
          <w:rFonts w:hint="default" w:ascii="Tahoma" w:hAnsi="Tahoma" w:cs="Tahoma"/>
          <w:b w:val="0"/>
          <w:sz w:val="22"/>
          <w:szCs w:val="22"/>
          <w:lang w:val="en-US"/>
        </w:rPr>
        <w:t>19</w:t>
      </w:r>
      <w:r>
        <w:rPr>
          <w:rFonts w:ascii="Tahoma" w:hAnsi="Tahoma" w:cs="Tahoma"/>
          <w:b w:val="0"/>
          <w:sz w:val="22"/>
          <w:szCs w:val="22"/>
          <w:lang w:val="id-ID"/>
        </w:rPr>
        <w:t xml:space="preserve"> yang mana hasil pemeriksaan tahun 20</w:t>
      </w:r>
      <w:r>
        <w:rPr>
          <w:rFonts w:hint="default" w:ascii="Tahoma" w:hAnsi="Tahoma" w:cs="Tahoma"/>
          <w:b w:val="0"/>
          <w:sz w:val="22"/>
          <w:szCs w:val="22"/>
          <w:lang w:val="en-US"/>
        </w:rPr>
        <w:t>19</w:t>
      </w:r>
      <w:r>
        <w:rPr>
          <w:rFonts w:ascii="Tahoma" w:hAnsi="Tahoma" w:cs="Tahoma"/>
          <w:b w:val="0"/>
          <w:sz w:val="22"/>
          <w:szCs w:val="22"/>
          <w:lang w:val="id-ID"/>
        </w:rPr>
        <w:t xml:space="preserve"> keluarnya pada </w:t>
      </w:r>
      <w:r>
        <w:rPr>
          <w:rFonts w:ascii="Tahoma" w:hAnsi="Tahoma" w:cs="Tahoma"/>
          <w:b w:val="0"/>
          <w:sz w:val="22"/>
          <w:szCs w:val="22"/>
        </w:rPr>
        <w:t>bulan Ju</w:t>
      </w:r>
      <w:r>
        <w:rPr>
          <w:rFonts w:hint="default" w:ascii="Tahoma" w:hAnsi="Tahoma" w:cs="Tahoma"/>
          <w:b w:val="0"/>
          <w:sz w:val="22"/>
          <w:szCs w:val="22"/>
          <w:lang w:val="en-US"/>
        </w:rPr>
        <w:t>ni</w:t>
      </w:r>
      <w:r>
        <w:rPr>
          <w:rFonts w:ascii="Tahoma" w:hAnsi="Tahoma" w:cs="Tahoma"/>
          <w:b w:val="0"/>
          <w:sz w:val="22"/>
          <w:szCs w:val="22"/>
        </w:rPr>
        <w:t xml:space="preserve"> tahun 20</w:t>
      </w:r>
      <w:r>
        <w:rPr>
          <w:rFonts w:hint="default" w:ascii="Tahoma" w:hAnsi="Tahoma" w:cs="Tahoma"/>
          <w:b w:val="0"/>
          <w:sz w:val="22"/>
          <w:szCs w:val="22"/>
          <w:lang w:val="en-US"/>
        </w:rPr>
        <w:t>20</w:t>
      </w:r>
      <w:r>
        <w:rPr>
          <w:rFonts w:ascii="Tahoma" w:hAnsi="Tahoma" w:cs="Tahoma"/>
          <w:b w:val="0"/>
          <w:sz w:val="22"/>
          <w:szCs w:val="22"/>
          <w:lang w:val="id-ID"/>
        </w:rPr>
        <w:t>.</w:t>
      </w:r>
      <w:r>
        <w:rPr>
          <w:rFonts w:ascii="Tahoma" w:hAnsi="Tahoma" w:cs="Tahoma"/>
          <w:b w:val="0"/>
          <w:sz w:val="22"/>
          <w:szCs w:val="22"/>
        </w:rPr>
        <w:t xml:space="preserve"> Pada t</w:t>
      </w:r>
      <w:r>
        <w:rPr>
          <w:rFonts w:ascii="Tahoma" w:hAnsi="Tahoma" w:cs="Tahoma"/>
          <w:b w:val="0"/>
          <w:sz w:val="22"/>
          <w:szCs w:val="22"/>
          <w:lang w:val="id-ID"/>
        </w:rPr>
        <w:t xml:space="preserve">ahun 2017 persentase </w:t>
      </w:r>
      <w:r>
        <w:rPr>
          <w:rFonts w:ascii="Tahoma" w:hAnsi="Tahoma" w:cs="Tahoma"/>
          <w:b w:val="0"/>
          <w:sz w:val="22"/>
          <w:szCs w:val="22"/>
        </w:rPr>
        <w:t>K</w:t>
      </w:r>
      <w:r>
        <w:rPr>
          <w:rFonts w:ascii="Tahoma" w:hAnsi="Tahoma" w:cs="Tahoma"/>
          <w:b w:val="0"/>
          <w:sz w:val="22"/>
          <w:szCs w:val="22"/>
          <w:lang w:val="id-ID"/>
        </w:rPr>
        <w:t>ab/Kota</w:t>
      </w:r>
      <w:r>
        <w:rPr>
          <w:rFonts w:hint="default" w:ascii="Tahoma" w:hAnsi="Tahoma" w:cs="Tahoma"/>
          <w:b w:val="0"/>
          <w:sz w:val="22"/>
          <w:szCs w:val="22"/>
          <w:lang w:val="en-US"/>
        </w:rPr>
        <w:t xml:space="preserve"> </w:t>
      </w:r>
      <w:r>
        <w:rPr>
          <w:rFonts w:ascii="Tahoma" w:hAnsi="Tahoma" w:cs="Tahoma"/>
          <w:b w:val="0"/>
          <w:sz w:val="22"/>
          <w:szCs w:val="22"/>
          <w:lang w:val="id-ID"/>
        </w:rPr>
        <w:t>yang berhasil meraih opini BPK dengan Opini WTP ditargetkan 85%</w:t>
      </w:r>
      <w:r>
        <w:rPr>
          <w:rFonts w:ascii="Tahoma" w:hAnsi="Tahoma" w:cs="Tahoma"/>
          <w:b w:val="0"/>
          <w:sz w:val="22"/>
          <w:szCs w:val="22"/>
        </w:rPr>
        <w:t>,dan r</w:t>
      </w:r>
      <w:r>
        <w:rPr>
          <w:rFonts w:ascii="Tahoma" w:hAnsi="Tahoma" w:cs="Tahoma"/>
          <w:b w:val="0"/>
          <w:sz w:val="22"/>
          <w:szCs w:val="22"/>
          <w:lang w:val="id-ID"/>
        </w:rPr>
        <w:t>ealisasinya yaitu 90%</w:t>
      </w:r>
      <w:r>
        <w:rPr>
          <w:rFonts w:ascii="Tahoma" w:hAnsi="Tahoma" w:cs="Tahoma"/>
          <w:b w:val="0"/>
          <w:sz w:val="22"/>
          <w:szCs w:val="22"/>
        </w:rPr>
        <w:t>,</w:t>
      </w:r>
      <w:r>
        <w:rPr>
          <w:rFonts w:hint="default" w:ascii="Tahoma" w:hAnsi="Tahoma" w:cs="Tahoma"/>
          <w:b w:val="0"/>
          <w:sz w:val="22"/>
          <w:szCs w:val="22"/>
          <w:lang w:val="en-US"/>
        </w:rPr>
        <w:t xml:space="preserve"> </w:t>
      </w:r>
      <w:r>
        <w:rPr>
          <w:rFonts w:ascii="Tahoma" w:hAnsi="Tahoma" w:cs="Tahoma"/>
          <w:b w:val="0"/>
          <w:sz w:val="22"/>
          <w:szCs w:val="22"/>
        </w:rPr>
        <w:t>d</w:t>
      </w:r>
      <w:r>
        <w:rPr>
          <w:rFonts w:ascii="Tahoma" w:hAnsi="Tahoma" w:cs="Tahoma"/>
          <w:b w:val="0"/>
          <w:sz w:val="22"/>
          <w:szCs w:val="22"/>
          <w:lang w:val="id-ID"/>
        </w:rPr>
        <w:t xml:space="preserve">imana dari 19 Kab/Kota ada 2 </w:t>
      </w:r>
      <w:r>
        <w:rPr>
          <w:rFonts w:ascii="Tahoma" w:hAnsi="Tahoma" w:cs="Tahoma"/>
          <w:b w:val="0"/>
          <w:sz w:val="22"/>
          <w:szCs w:val="22"/>
        </w:rPr>
        <w:t>K</w:t>
      </w:r>
      <w:r>
        <w:rPr>
          <w:rFonts w:ascii="Tahoma" w:hAnsi="Tahoma" w:cs="Tahoma"/>
          <w:b w:val="0"/>
          <w:sz w:val="22"/>
          <w:szCs w:val="22"/>
          <w:lang w:val="id-ID"/>
        </w:rPr>
        <w:t>ab/Kota yang meraih penilaian WDP yaitu Kab Solok dan Kab.</w:t>
      </w:r>
      <w:r>
        <w:rPr>
          <w:rFonts w:hint="default" w:ascii="Tahoma" w:hAnsi="Tahoma" w:cs="Tahoma"/>
          <w:b w:val="0"/>
          <w:sz w:val="22"/>
          <w:szCs w:val="22"/>
          <w:lang w:val="en-US"/>
        </w:rPr>
        <w:t xml:space="preserve"> </w:t>
      </w:r>
      <w:r>
        <w:rPr>
          <w:rFonts w:ascii="Tahoma" w:hAnsi="Tahoma" w:cs="Tahoma"/>
          <w:b w:val="0"/>
          <w:sz w:val="22"/>
          <w:szCs w:val="22"/>
          <w:lang w:val="id-ID"/>
        </w:rPr>
        <w:t>Kep</w:t>
      </w:r>
      <w:r>
        <w:rPr>
          <w:rFonts w:ascii="Tahoma" w:hAnsi="Tahoma" w:cs="Tahoma"/>
          <w:b w:val="0"/>
          <w:sz w:val="22"/>
          <w:szCs w:val="22"/>
        </w:rPr>
        <w:t>ulauan</w:t>
      </w:r>
      <w:r>
        <w:rPr>
          <w:rFonts w:ascii="Tahoma" w:hAnsi="Tahoma" w:cs="Tahoma"/>
          <w:b w:val="0"/>
          <w:sz w:val="22"/>
          <w:szCs w:val="22"/>
          <w:lang w:val="id-ID"/>
        </w:rPr>
        <w:t xml:space="preserve"> Mentawai.</w:t>
      </w:r>
      <w:r>
        <w:rPr>
          <w:rFonts w:hint="default" w:ascii="Tahoma" w:hAnsi="Tahoma" w:cs="Tahoma"/>
          <w:b w:val="0"/>
          <w:sz w:val="22"/>
          <w:szCs w:val="22"/>
          <w:lang w:val="en-US"/>
        </w:rPr>
        <w:t xml:space="preserve"> </w:t>
      </w:r>
      <w:r>
        <w:rPr>
          <w:rFonts w:ascii="Tahoma" w:hAnsi="Tahoma" w:cs="Tahoma"/>
          <w:b w:val="0"/>
          <w:sz w:val="22"/>
          <w:szCs w:val="22"/>
          <w:lang w:val="id-ID"/>
        </w:rPr>
        <w:t xml:space="preserve">Di tahun 2018  persentase </w:t>
      </w:r>
      <w:r>
        <w:rPr>
          <w:rFonts w:ascii="Tahoma" w:hAnsi="Tahoma" w:cs="Tahoma"/>
          <w:b w:val="0"/>
          <w:sz w:val="22"/>
          <w:szCs w:val="22"/>
        </w:rPr>
        <w:t>K</w:t>
      </w:r>
      <w:r>
        <w:rPr>
          <w:rFonts w:ascii="Tahoma" w:hAnsi="Tahoma" w:cs="Tahoma"/>
          <w:b w:val="0"/>
          <w:sz w:val="22"/>
          <w:szCs w:val="22"/>
          <w:lang w:val="id-ID"/>
        </w:rPr>
        <w:t xml:space="preserve">ab/Kota dengan opini WTP ditargetkan 90% dan realisasi 100%. </w:t>
      </w:r>
      <w:r>
        <w:rPr>
          <w:rFonts w:hint="default" w:ascii="Tahoma" w:hAnsi="Tahoma" w:cs="Tahoma"/>
          <w:b w:val="0"/>
          <w:sz w:val="22"/>
          <w:szCs w:val="22"/>
          <w:lang w:val="en-US"/>
        </w:rPr>
        <w:t>Tahun 2019 o</w:t>
      </w:r>
      <w:r>
        <w:rPr>
          <w:rFonts w:ascii="Tahoma" w:hAnsi="Tahoma" w:cs="Tahoma"/>
          <w:b w:val="0"/>
          <w:sz w:val="22"/>
          <w:szCs w:val="22"/>
          <w:lang w:val="id-ID"/>
        </w:rPr>
        <w:t xml:space="preserve">pini BPK </w:t>
      </w:r>
      <w:r>
        <w:rPr>
          <w:rFonts w:ascii="Tahoma" w:hAnsi="Tahoma" w:cs="Tahoma"/>
          <w:b w:val="0"/>
          <w:sz w:val="22"/>
          <w:szCs w:val="22"/>
        </w:rPr>
        <w:t xml:space="preserve">untuk seluruh </w:t>
      </w:r>
      <w:r>
        <w:rPr>
          <w:rFonts w:ascii="Tahoma" w:hAnsi="Tahoma" w:cs="Tahoma"/>
          <w:b w:val="0"/>
          <w:sz w:val="22"/>
          <w:szCs w:val="22"/>
          <w:lang w:val="id-ID"/>
        </w:rPr>
        <w:t xml:space="preserve">Pemerintah Kab/Kota </w:t>
      </w:r>
      <w:r>
        <w:rPr>
          <w:rFonts w:hint="default" w:ascii="Tahoma" w:hAnsi="Tahoma" w:cs="Tahoma"/>
          <w:b w:val="0"/>
          <w:sz w:val="22"/>
          <w:szCs w:val="22"/>
          <w:lang w:val="en-US"/>
        </w:rPr>
        <w:t>di Sumatera Barat hasilnya adalah WTP yang keluar tahun 2020.</w:t>
      </w:r>
    </w:p>
    <w:p>
      <w:pPr>
        <w:pStyle w:val="30"/>
        <w:spacing w:before="100" w:beforeAutospacing="1" w:after="0" w:line="360" w:lineRule="auto"/>
        <w:ind w:left="425" w:firstLine="220" w:firstLineChars="100"/>
        <w:rPr>
          <w:rFonts w:ascii="Tahoma" w:hAnsi="Tahoma" w:cs="Tahoma"/>
          <w:b/>
          <w:bCs/>
        </w:rPr>
      </w:pPr>
      <w:r>
        <w:rPr>
          <w:rFonts w:ascii="Tahoma" w:hAnsi="Tahoma" w:cs="Tahoma"/>
          <w:b/>
          <w:bCs/>
        </w:rPr>
        <w:t xml:space="preserve">Program/kegiatan dan Anggaran </w:t>
      </w:r>
      <w:r>
        <w:rPr>
          <w:rFonts w:hint="default" w:ascii="Tahoma" w:hAnsi="Tahoma" w:cs="Tahoma"/>
          <w:b/>
          <w:bCs/>
          <w:lang w:val="en-US"/>
        </w:rPr>
        <w:t xml:space="preserve">dengan sasaran ini </w:t>
      </w:r>
      <w:r>
        <w:rPr>
          <w:rFonts w:ascii="Tahoma" w:hAnsi="Tahoma" w:cs="Tahoma"/>
          <w:b/>
          <w:bCs/>
        </w:rPr>
        <w:t>adalah:</w:t>
      </w:r>
    </w:p>
    <w:p>
      <w:pPr>
        <w:pStyle w:val="30"/>
        <w:spacing w:after="0" w:line="360" w:lineRule="auto"/>
        <w:ind w:left="660" w:leftChars="300"/>
        <w:rPr>
          <w:rFonts w:ascii="Tahoma" w:hAnsi="Tahoma" w:cs="Tahoma"/>
          <w:iCs/>
        </w:rPr>
      </w:pPr>
      <w:r>
        <w:rPr>
          <w:rFonts w:ascii="Tahoma" w:hAnsi="Tahoma" w:cs="Tahoma"/>
          <w:iCs/>
        </w:rPr>
        <w:t>Program : Pembinaan dan Fasiltasi Pengelolaan Keuangan Kabupaten/Kota</w:t>
      </w:r>
    </w:p>
    <w:p>
      <w:pPr>
        <w:pStyle w:val="30"/>
        <w:spacing w:after="0" w:line="360" w:lineRule="auto"/>
        <w:ind w:left="660"/>
        <w:rPr>
          <w:rFonts w:ascii="Tahoma" w:hAnsi="Tahoma" w:cs="Tahoma"/>
          <w:iCs/>
        </w:rPr>
      </w:pPr>
      <w:r>
        <w:rPr>
          <w:rFonts w:ascii="Tahoma" w:hAnsi="Tahoma" w:cs="Tahoma"/>
          <w:iCs/>
        </w:rPr>
        <w:t>Kegiatan :</w:t>
      </w:r>
    </w:p>
    <w:p>
      <w:pPr>
        <w:numPr>
          <w:ilvl w:val="0"/>
          <w:numId w:val="35"/>
        </w:numPr>
        <w:tabs>
          <w:tab w:val="clear" w:pos="425"/>
        </w:tabs>
        <w:autoSpaceDE w:val="0"/>
        <w:autoSpaceDN w:val="0"/>
        <w:adjustRightInd w:val="0"/>
        <w:spacing w:after="0" w:line="360" w:lineRule="auto"/>
        <w:ind w:left="1085"/>
        <w:jc w:val="both"/>
        <w:rPr>
          <w:rFonts w:ascii="Tahoma" w:hAnsi="Tahoma" w:cs="Tahoma"/>
          <w:bCs/>
        </w:rPr>
      </w:pPr>
      <w:r>
        <w:rPr>
          <w:rFonts w:ascii="Tahoma" w:hAnsi="Tahoma" w:cs="Tahoma"/>
          <w:bCs/>
        </w:rPr>
        <w:t>Evaluasi Rancangan Perda tentang APBD, Perubahan APBD, dan Pertanggungjawaban Pelaksanaan APBD serta Rancangan Perbup/Perwako tentang Penjabaran APBD, Perubahan APBD, dan Pertanggungjawaban Pelaksanaan APBD Kabupaten/Kota dengan anggaran sebesar Rp. 381.964.515,-</w:t>
      </w:r>
    </w:p>
    <w:p>
      <w:pPr>
        <w:numPr>
          <w:ilvl w:val="0"/>
          <w:numId w:val="35"/>
        </w:numPr>
        <w:tabs>
          <w:tab w:val="clear" w:pos="425"/>
        </w:tabs>
        <w:autoSpaceDE w:val="0"/>
        <w:autoSpaceDN w:val="0"/>
        <w:adjustRightInd w:val="0"/>
        <w:spacing w:after="0" w:line="360" w:lineRule="auto"/>
        <w:ind w:left="1085"/>
        <w:jc w:val="both"/>
        <w:rPr>
          <w:rFonts w:ascii="Tahoma" w:hAnsi="Tahoma" w:cs="Tahoma"/>
          <w:bCs/>
        </w:rPr>
      </w:pPr>
      <w:r>
        <w:rPr>
          <w:rFonts w:ascii="Tahoma" w:hAnsi="Tahoma" w:cs="Tahoma"/>
          <w:bCs/>
        </w:rPr>
        <w:t>Rapat Koordinasi Pengelolaan Keuangan Daerah se Sumatera Barat dengan anggaran sebesar Rp. 26.225.900,-</w:t>
      </w:r>
    </w:p>
    <w:p>
      <w:pPr>
        <w:numPr>
          <w:ilvl w:val="0"/>
          <w:numId w:val="35"/>
        </w:numPr>
        <w:tabs>
          <w:tab w:val="clear" w:pos="425"/>
        </w:tabs>
        <w:autoSpaceDE w:val="0"/>
        <w:autoSpaceDN w:val="0"/>
        <w:adjustRightInd w:val="0"/>
        <w:spacing w:after="0" w:line="360" w:lineRule="auto"/>
        <w:ind w:left="1085"/>
        <w:jc w:val="both"/>
        <w:rPr>
          <w:rFonts w:ascii="Tahoma" w:hAnsi="Tahoma" w:cs="Tahoma"/>
          <w:color w:val="000000"/>
          <w:lang w:val="id-ID"/>
        </w:rPr>
      </w:pPr>
      <w:r>
        <w:rPr>
          <w:rFonts w:ascii="Tahoma" w:hAnsi="Tahoma" w:cs="Tahoma"/>
          <w:bCs/>
        </w:rPr>
        <w:t>Rekapitulasi dan Rekonsiliasi Data APBD Kabupaten/Kota dengan anggaran sebesar Rp. 9.047.400,-</w:t>
      </w:r>
    </w:p>
    <w:p>
      <w:pPr>
        <w:pStyle w:val="30"/>
        <w:spacing w:before="100" w:beforeAutospacing="1" w:after="120" w:line="360" w:lineRule="auto"/>
        <w:ind w:left="0" w:leftChars="0" w:firstLine="660" w:firstLineChars="300"/>
        <w:rPr>
          <w:rFonts w:ascii="Tahoma" w:hAnsi="Tahoma" w:cs="Tahoma"/>
        </w:rPr>
      </w:pPr>
      <w:r>
        <w:rPr>
          <w:rFonts w:ascii="Tahoma" w:hAnsi="Tahoma" w:cs="Tahoma"/>
        </w:rPr>
        <w:t>Upaya-upaya yang dilakukan untuk mempertahankan Opini BPK</w:t>
      </w:r>
      <w:r>
        <w:rPr>
          <w:rFonts w:ascii="Tahoma" w:hAnsi="Tahoma" w:cs="Tahoma"/>
          <w:lang w:val="id-ID"/>
        </w:rPr>
        <w:t xml:space="preserve"> Kab/Kota  </w:t>
      </w:r>
      <w:r>
        <w:rPr>
          <w:rFonts w:ascii="Tahoma" w:hAnsi="Tahoma" w:cs="Tahoma"/>
        </w:rPr>
        <w:t>:</w:t>
      </w:r>
      <w:r>
        <w:rPr>
          <w:rFonts w:ascii="Tahoma" w:hAnsi="Tahoma" w:cs="Tahoma"/>
        </w:rPr>
        <w:tab/>
      </w:r>
    </w:p>
    <w:p>
      <w:pPr>
        <w:pStyle w:val="30"/>
        <w:numPr>
          <w:ilvl w:val="0"/>
          <w:numId w:val="36"/>
        </w:numPr>
        <w:tabs>
          <w:tab w:val="left" w:pos="1100"/>
        </w:tabs>
        <w:spacing w:before="100" w:beforeAutospacing="1" w:after="120" w:line="360" w:lineRule="auto"/>
        <w:ind w:left="1100" w:hanging="440"/>
        <w:jc w:val="both"/>
        <w:rPr>
          <w:rFonts w:ascii="Tahoma" w:hAnsi="Tahoma" w:cs="Tahoma" w:eastAsiaTheme="minorEastAsia"/>
        </w:rPr>
      </w:pPr>
      <w:r>
        <w:rPr>
          <w:rFonts w:ascii="Tahoma" w:hAnsi="Tahoma" w:cs="Tahoma" w:eastAsiaTheme="minorEastAsia"/>
        </w:rPr>
        <w:t>Adanya peningkatan kualitas sumber daya manusia secara berkelanjutan yang berdampak pada peningkatan kualitas perencanaan, penganggaran, penatausahaan, dan pelaporan keuangan</w:t>
      </w:r>
      <w:r>
        <w:rPr>
          <w:rFonts w:ascii="Tahoma" w:hAnsi="Tahoma" w:cs="Tahoma" w:eastAsiaTheme="minorEastAsia"/>
          <w:lang w:val="id-ID"/>
        </w:rPr>
        <w:t xml:space="preserve"> dalam bentuk sosialisasi dan asistensi dalam penyusunan Perda APBD </w:t>
      </w:r>
      <w:r>
        <w:rPr>
          <w:rFonts w:ascii="Tahoma" w:hAnsi="Tahoma" w:cs="Tahoma" w:eastAsiaTheme="minorEastAsia"/>
        </w:rPr>
        <w:t>K</w:t>
      </w:r>
      <w:r>
        <w:rPr>
          <w:rFonts w:ascii="Tahoma" w:hAnsi="Tahoma" w:cs="Tahoma" w:eastAsiaTheme="minorEastAsia"/>
          <w:lang w:val="id-ID"/>
        </w:rPr>
        <w:t>ab/Kota.</w:t>
      </w:r>
    </w:p>
    <w:p>
      <w:pPr>
        <w:pStyle w:val="30"/>
        <w:numPr>
          <w:ilvl w:val="0"/>
          <w:numId w:val="36"/>
        </w:numPr>
        <w:tabs>
          <w:tab w:val="left" w:pos="1100"/>
        </w:tabs>
        <w:spacing w:before="100" w:beforeAutospacing="1" w:after="120" w:line="360" w:lineRule="auto"/>
        <w:ind w:firstLine="300"/>
        <w:jc w:val="both"/>
        <w:rPr>
          <w:rFonts w:ascii="Tahoma" w:hAnsi="Tahoma" w:cs="Tahoma" w:eastAsiaTheme="minorEastAsia"/>
        </w:rPr>
      </w:pPr>
      <w:r>
        <w:rPr>
          <w:rFonts w:ascii="Tahoma" w:hAnsi="Tahoma" w:cs="Tahoma" w:eastAsiaTheme="minorEastAsia"/>
          <w:lang w:val="id-ID"/>
        </w:rPr>
        <w:t>Melakukan sosialisasi terhadap regulasi yang terbaru</w:t>
      </w:r>
    </w:p>
    <w:p>
      <w:pPr>
        <w:autoSpaceDE w:val="0"/>
        <w:autoSpaceDN w:val="0"/>
        <w:adjustRightInd w:val="0"/>
        <w:spacing w:beforeLines="50" w:after="0" w:line="360" w:lineRule="auto"/>
        <w:jc w:val="both"/>
        <w:rPr>
          <w:rFonts w:ascii="Tahoma" w:hAnsi="Tahoma" w:cs="Tahoma"/>
          <w:color w:val="000000"/>
          <w:lang w:val="id-ID"/>
        </w:rPr>
      </w:pPr>
    </w:p>
    <w:p>
      <w:pPr>
        <w:pStyle w:val="20"/>
        <w:numPr>
          <w:ilvl w:val="0"/>
          <w:numId w:val="28"/>
        </w:numPr>
        <w:tabs>
          <w:tab w:val="clear" w:pos="900"/>
          <w:tab w:val="clear" w:pos="1080"/>
        </w:tabs>
        <w:spacing w:line="360" w:lineRule="auto"/>
        <w:ind w:left="660" w:leftChars="100" w:hanging="440" w:hangingChars="200"/>
        <w:jc w:val="both"/>
        <w:rPr>
          <w:rFonts w:hint="default" w:ascii="Tahoma" w:hAnsi="Tahoma" w:cs="Tahoma"/>
          <w:sz w:val="22"/>
          <w:szCs w:val="22"/>
        </w:rPr>
      </w:pPr>
      <w:r>
        <w:rPr>
          <w:rFonts w:hint="default" w:ascii="Tahoma" w:hAnsi="Tahoma" w:cs="Tahoma"/>
          <w:sz w:val="22"/>
          <w:szCs w:val="22"/>
          <w:lang w:val="id-ID"/>
        </w:rPr>
        <w:t xml:space="preserve">Meningkatnya </w:t>
      </w:r>
      <w:r>
        <w:rPr>
          <w:rFonts w:hint="default" w:ascii="Tahoma" w:hAnsi="Tahoma" w:cs="Tahoma"/>
          <w:sz w:val="22"/>
          <w:szCs w:val="22"/>
        </w:rPr>
        <w:t>Pendapatan Asli Daerah</w:t>
      </w:r>
    </w:p>
    <w:p>
      <w:pPr>
        <w:spacing w:after="0" w:line="360" w:lineRule="auto"/>
        <w:ind w:left="658"/>
        <w:jc w:val="both"/>
        <w:rPr>
          <w:rFonts w:hint="default" w:ascii="Tahoma" w:hAnsi="Tahoma" w:cs="Tahoma"/>
          <w:lang w:val="id-ID"/>
        </w:rPr>
      </w:pPr>
      <w:r>
        <w:rPr>
          <w:rFonts w:hint="default" w:ascii="Tahoma" w:hAnsi="Tahoma" w:cs="Tahoma"/>
        </w:rPr>
        <w:t>Kebijakan Peningkatan Pendapatan</w:t>
      </w:r>
      <w:r>
        <w:rPr>
          <w:rFonts w:hint="default" w:ascii="Tahoma" w:hAnsi="Tahoma" w:cs="Tahoma"/>
          <w:lang w:val="id-ID"/>
        </w:rPr>
        <w:t xml:space="preserve"> asli daerahtahun 2020</w:t>
      </w:r>
      <w:r>
        <w:rPr>
          <w:rFonts w:hint="default" w:ascii="Tahoma" w:hAnsi="Tahoma" w:cs="Tahoma"/>
        </w:rPr>
        <w:t xml:space="preserve"> adalah :</w:t>
      </w:r>
    </w:p>
    <w:p>
      <w:pPr>
        <w:pStyle w:val="30"/>
        <w:widowControl w:val="0"/>
        <w:numPr>
          <w:ilvl w:val="1"/>
          <w:numId w:val="37"/>
        </w:numPr>
        <w:autoSpaceDE w:val="0"/>
        <w:autoSpaceDN w:val="0"/>
        <w:spacing w:after="0" w:line="360" w:lineRule="auto"/>
        <w:ind w:left="1108" w:right="132" w:hanging="448"/>
        <w:jc w:val="both"/>
        <w:rPr>
          <w:rFonts w:hint="default" w:ascii="Tahoma" w:hAnsi="Tahoma" w:cs="Tahoma"/>
          <w:lang w:val="id-ID"/>
        </w:rPr>
      </w:pPr>
      <w:r>
        <w:rPr>
          <w:rFonts w:hint="default" w:ascii="Tahoma" w:hAnsi="Tahoma" w:cs="Tahoma"/>
          <w:lang w:val="id-ID"/>
        </w:rPr>
        <w:t>Penataan kelembagaan, penyempurnaan dasar hukum pemungutan</w:t>
      </w:r>
      <w:r>
        <w:rPr>
          <w:rFonts w:hint="default" w:ascii="Tahoma" w:hAnsi="Tahoma" w:cs="Tahoma"/>
          <w:lang w:val="en-US"/>
        </w:rPr>
        <w:t xml:space="preserve"> </w:t>
      </w:r>
      <w:r>
        <w:rPr>
          <w:rFonts w:hint="default" w:ascii="Tahoma" w:hAnsi="Tahoma" w:cs="Tahoma"/>
          <w:lang w:val="id-ID"/>
        </w:rPr>
        <w:t>dan</w:t>
      </w:r>
      <w:r>
        <w:rPr>
          <w:rFonts w:hint="default" w:ascii="Tahoma" w:hAnsi="Tahoma" w:cs="Tahoma"/>
          <w:lang w:val="en-US"/>
        </w:rPr>
        <w:t xml:space="preserve"> </w:t>
      </w:r>
      <w:r>
        <w:rPr>
          <w:rFonts w:hint="default" w:ascii="Tahoma" w:hAnsi="Tahoma" w:cs="Tahoma"/>
          <w:lang w:val="id-ID"/>
        </w:rPr>
        <w:t>regulasi</w:t>
      </w:r>
      <w:r>
        <w:rPr>
          <w:rFonts w:hint="default" w:ascii="Tahoma" w:hAnsi="Tahoma" w:cs="Tahoma"/>
          <w:lang w:val="en-US"/>
        </w:rPr>
        <w:t xml:space="preserve"> </w:t>
      </w:r>
      <w:r>
        <w:rPr>
          <w:rFonts w:hint="default" w:ascii="Tahoma" w:hAnsi="Tahoma" w:cs="Tahoma"/>
          <w:lang w:val="id-ID"/>
        </w:rPr>
        <w:t>penyesuaian</w:t>
      </w:r>
      <w:r>
        <w:rPr>
          <w:rFonts w:hint="default" w:ascii="Tahoma" w:hAnsi="Tahoma" w:cs="Tahoma"/>
          <w:lang w:val="en-US"/>
        </w:rPr>
        <w:t xml:space="preserve"> </w:t>
      </w:r>
      <w:r>
        <w:rPr>
          <w:rFonts w:hint="default" w:ascii="Tahoma" w:hAnsi="Tahoma" w:cs="Tahoma"/>
          <w:lang w:val="id-ID"/>
        </w:rPr>
        <w:t>tarif</w:t>
      </w:r>
      <w:r>
        <w:rPr>
          <w:rFonts w:hint="default" w:ascii="Tahoma" w:hAnsi="Tahoma" w:cs="Tahoma"/>
          <w:lang w:val="en-US"/>
        </w:rPr>
        <w:t xml:space="preserve"> </w:t>
      </w:r>
      <w:r>
        <w:rPr>
          <w:rFonts w:hint="default" w:ascii="Tahoma" w:hAnsi="Tahoma" w:cs="Tahoma"/>
          <w:lang w:val="id-ID"/>
        </w:rPr>
        <w:t>pungutan</w:t>
      </w:r>
      <w:r>
        <w:rPr>
          <w:rFonts w:hint="default" w:ascii="Tahoma" w:hAnsi="Tahoma" w:cs="Tahoma"/>
          <w:lang w:val="en-US"/>
        </w:rPr>
        <w:t xml:space="preserve"> </w:t>
      </w:r>
      <w:r>
        <w:rPr>
          <w:rFonts w:hint="default" w:ascii="Tahoma" w:hAnsi="Tahoma" w:cs="Tahoma"/>
          <w:lang w:val="id-ID"/>
        </w:rPr>
        <w:t>serta</w:t>
      </w:r>
      <w:r>
        <w:rPr>
          <w:rFonts w:hint="default" w:ascii="Tahoma" w:hAnsi="Tahoma" w:cs="Tahoma"/>
          <w:lang w:val="en-US"/>
        </w:rPr>
        <w:t xml:space="preserve"> </w:t>
      </w:r>
      <w:r>
        <w:rPr>
          <w:rFonts w:hint="default" w:ascii="Tahoma" w:hAnsi="Tahoma" w:cs="Tahoma"/>
          <w:lang w:val="id-ID"/>
        </w:rPr>
        <w:t>penyederhanaan</w:t>
      </w:r>
      <w:r>
        <w:rPr>
          <w:rFonts w:hint="default" w:ascii="Tahoma" w:hAnsi="Tahoma" w:cs="Tahoma"/>
          <w:lang w:val="en-US"/>
        </w:rPr>
        <w:t xml:space="preserve"> </w:t>
      </w:r>
      <w:r>
        <w:rPr>
          <w:rFonts w:hint="default" w:ascii="Tahoma" w:hAnsi="Tahoma" w:cs="Tahoma"/>
          <w:lang w:val="id-ID"/>
        </w:rPr>
        <w:t>sistem prosedur</w:t>
      </w:r>
      <w:r>
        <w:rPr>
          <w:rFonts w:hint="default" w:ascii="Tahoma" w:hAnsi="Tahoma" w:cs="Tahoma"/>
          <w:lang w:val="en-US"/>
        </w:rPr>
        <w:t xml:space="preserve"> </w:t>
      </w:r>
      <w:r>
        <w:rPr>
          <w:rFonts w:hint="default" w:ascii="Tahoma" w:hAnsi="Tahoma" w:cs="Tahoma"/>
          <w:lang w:val="id-ID"/>
        </w:rPr>
        <w:t>pelayana</w:t>
      </w:r>
      <w:r>
        <w:rPr>
          <w:rFonts w:hint="default" w:ascii="Tahoma" w:hAnsi="Tahoma" w:cs="Tahoma"/>
        </w:rPr>
        <w:t>n.</w:t>
      </w:r>
    </w:p>
    <w:p>
      <w:pPr>
        <w:pStyle w:val="30"/>
        <w:widowControl w:val="0"/>
        <w:numPr>
          <w:ilvl w:val="1"/>
          <w:numId w:val="37"/>
        </w:numPr>
        <w:autoSpaceDE w:val="0"/>
        <w:autoSpaceDN w:val="0"/>
        <w:spacing w:after="0" w:line="360" w:lineRule="auto"/>
        <w:ind w:left="1108" w:right="132" w:hanging="448"/>
        <w:jc w:val="both"/>
        <w:rPr>
          <w:rFonts w:hint="default" w:ascii="Tahoma" w:hAnsi="Tahoma" w:cs="Tahoma"/>
          <w:lang w:val="id-ID"/>
        </w:rPr>
      </w:pPr>
      <w:r>
        <w:rPr>
          <w:rFonts w:hint="default" w:ascii="Tahoma" w:hAnsi="Tahoma" w:cs="Tahoma"/>
          <w:lang w:val="id-ID"/>
        </w:rPr>
        <w:t>Pelaksanaan pemungutan atas obyek pajak/retribusi baru dan pengembangan sistem operasi penagihan atas potensi pajak dan retribusi yang tidak memenuhi</w:t>
      </w:r>
      <w:r>
        <w:rPr>
          <w:rFonts w:hint="default" w:ascii="Tahoma" w:hAnsi="Tahoma" w:cs="Tahoma"/>
          <w:lang w:val="en-US"/>
        </w:rPr>
        <w:t xml:space="preserve"> </w:t>
      </w:r>
      <w:r>
        <w:rPr>
          <w:rFonts w:hint="default" w:ascii="Tahoma" w:hAnsi="Tahoma" w:cs="Tahoma"/>
          <w:lang w:val="id-ID"/>
        </w:rPr>
        <w:t>kewajibannya</w:t>
      </w:r>
      <w:r>
        <w:rPr>
          <w:rFonts w:hint="default" w:ascii="Tahoma" w:hAnsi="Tahoma" w:cs="Tahoma"/>
        </w:rPr>
        <w:t>.</w:t>
      </w:r>
    </w:p>
    <w:p>
      <w:pPr>
        <w:pStyle w:val="30"/>
        <w:widowControl w:val="0"/>
        <w:numPr>
          <w:ilvl w:val="1"/>
          <w:numId w:val="37"/>
        </w:numPr>
        <w:autoSpaceDE w:val="0"/>
        <w:autoSpaceDN w:val="0"/>
        <w:spacing w:after="0" w:line="360" w:lineRule="auto"/>
        <w:ind w:left="1108" w:right="132" w:hanging="448"/>
        <w:jc w:val="both"/>
        <w:rPr>
          <w:rFonts w:hint="default" w:ascii="Tahoma" w:hAnsi="Tahoma" w:cs="Tahoma"/>
          <w:lang w:val="id-ID"/>
        </w:rPr>
      </w:pPr>
      <w:r>
        <w:rPr>
          <w:rFonts w:hint="default" w:ascii="Tahoma" w:hAnsi="Tahoma" w:cs="Tahoma"/>
          <w:lang w:val="id-ID"/>
        </w:rPr>
        <w:t>Peningkatan fasilitas dan sarana pelayanan secara bertahap sesuai dengan kemampuananggaran</w:t>
      </w:r>
      <w:r>
        <w:rPr>
          <w:rFonts w:hint="default" w:ascii="Tahoma" w:hAnsi="Tahoma" w:cs="Tahoma"/>
        </w:rPr>
        <w:t>.</w:t>
      </w:r>
    </w:p>
    <w:p>
      <w:pPr>
        <w:pStyle w:val="30"/>
        <w:widowControl w:val="0"/>
        <w:numPr>
          <w:ilvl w:val="1"/>
          <w:numId w:val="37"/>
        </w:numPr>
        <w:autoSpaceDE w:val="0"/>
        <w:autoSpaceDN w:val="0"/>
        <w:spacing w:after="0" w:line="360" w:lineRule="auto"/>
        <w:ind w:left="1108" w:right="132" w:hanging="448"/>
        <w:jc w:val="both"/>
        <w:rPr>
          <w:rFonts w:hint="default" w:ascii="Tahoma" w:hAnsi="Tahoma" w:cs="Tahoma"/>
          <w:lang w:val="id-ID"/>
        </w:rPr>
      </w:pPr>
      <w:r>
        <w:rPr>
          <w:rFonts w:hint="default" w:ascii="Tahoma" w:hAnsi="Tahoma" w:cs="Tahoma"/>
          <w:lang w:val="id-ID"/>
        </w:rPr>
        <w:t xml:space="preserve">Melaksanakan pelayanan dan pemberian kemudahan kepada masyarakat dalam membayar pajak melalui </w:t>
      </w:r>
      <w:r>
        <w:rPr>
          <w:rFonts w:hint="default" w:ascii="Tahoma" w:hAnsi="Tahoma" w:cs="Tahoma"/>
          <w:i/>
          <w:lang w:val="id-ID"/>
        </w:rPr>
        <w:t>drive thru</w:t>
      </w:r>
      <w:r>
        <w:rPr>
          <w:rFonts w:hint="default" w:ascii="Tahoma" w:hAnsi="Tahoma" w:cs="Tahoma"/>
          <w:lang w:val="id-ID"/>
        </w:rPr>
        <w:t xml:space="preserve">, </w:t>
      </w:r>
      <w:r>
        <w:rPr>
          <w:rFonts w:hint="default" w:ascii="Tahoma" w:hAnsi="Tahoma" w:cs="Tahoma"/>
        </w:rPr>
        <w:t xml:space="preserve">Samsat Keliling, </w:t>
      </w:r>
      <w:r>
        <w:rPr>
          <w:rFonts w:hint="default" w:ascii="Tahoma" w:hAnsi="Tahoma" w:cs="Tahoma"/>
          <w:lang w:val="id-ID"/>
        </w:rPr>
        <w:t>Gerai Samsat</w:t>
      </w:r>
      <w:r>
        <w:rPr>
          <w:rFonts w:hint="default" w:ascii="Tahoma" w:hAnsi="Tahoma" w:cs="Tahoma"/>
        </w:rPr>
        <w:t xml:space="preserve">, </w:t>
      </w:r>
      <w:r>
        <w:rPr>
          <w:rFonts w:hint="default" w:ascii="Tahoma" w:hAnsi="Tahoma" w:cs="Tahoma"/>
          <w:lang w:val="id-ID"/>
        </w:rPr>
        <w:t xml:space="preserve">Samsat </w:t>
      </w:r>
      <w:r>
        <w:rPr>
          <w:rFonts w:hint="default" w:ascii="Tahoma" w:hAnsi="Tahoma" w:cs="Tahoma"/>
        </w:rPr>
        <w:t>CFD</w:t>
      </w:r>
      <w:r>
        <w:rPr>
          <w:rFonts w:hint="default" w:ascii="Tahoma" w:hAnsi="Tahoma" w:cs="Tahoma"/>
          <w:lang w:val="id-ID"/>
        </w:rPr>
        <w:t>,</w:t>
      </w:r>
      <w:r>
        <w:rPr>
          <w:rFonts w:hint="default" w:ascii="Tahoma" w:hAnsi="Tahoma" w:cs="Tahoma"/>
        </w:rPr>
        <w:t xml:space="preserve"> Samsat Malam Minggu, Samsat Nagari, Samsat MPP dan  </w:t>
      </w:r>
      <w:r>
        <w:rPr>
          <w:rFonts w:hint="default" w:ascii="Tahoma" w:hAnsi="Tahoma" w:cs="Tahoma"/>
          <w:lang w:val="id-ID"/>
        </w:rPr>
        <w:t>pengembangan Samsat O</w:t>
      </w:r>
      <w:r>
        <w:rPr>
          <w:rFonts w:hint="default" w:ascii="Tahoma" w:hAnsi="Tahoma" w:cs="Tahoma"/>
        </w:rPr>
        <w:t>nline.</w:t>
      </w:r>
    </w:p>
    <w:p>
      <w:pPr>
        <w:pStyle w:val="30"/>
        <w:widowControl w:val="0"/>
        <w:numPr>
          <w:ilvl w:val="1"/>
          <w:numId w:val="37"/>
        </w:numPr>
        <w:autoSpaceDE w:val="0"/>
        <w:autoSpaceDN w:val="0"/>
        <w:spacing w:after="0" w:line="360" w:lineRule="auto"/>
        <w:ind w:left="1108" w:right="132" w:hanging="448"/>
        <w:jc w:val="both"/>
        <w:rPr>
          <w:rFonts w:hint="default" w:ascii="Tahoma" w:hAnsi="Tahoma" w:cs="Tahoma"/>
          <w:lang w:val="id-ID"/>
        </w:rPr>
      </w:pPr>
      <w:r>
        <w:rPr>
          <w:rFonts w:hint="default" w:ascii="Tahoma" w:hAnsi="Tahoma" w:cs="Tahoma"/>
          <w:lang w:val="id-ID"/>
        </w:rPr>
        <w:t>Penyebarluasan informasi di bidang pendapatan daerah dalam upaya peningkatan kesadaranmasyarakat</w:t>
      </w:r>
      <w:r>
        <w:rPr>
          <w:rFonts w:hint="default" w:ascii="Tahoma" w:hAnsi="Tahoma" w:cs="Tahoma"/>
        </w:rPr>
        <w:t>.</w:t>
      </w:r>
    </w:p>
    <w:p>
      <w:pPr>
        <w:pStyle w:val="30"/>
        <w:widowControl w:val="0"/>
        <w:numPr>
          <w:ilvl w:val="1"/>
          <w:numId w:val="37"/>
        </w:numPr>
        <w:autoSpaceDE w:val="0"/>
        <w:autoSpaceDN w:val="0"/>
        <w:spacing w:after="0" w:line="360" w:lineRule="auto"/>
        <w:ind w:left="1108" w:right="132" w:hanging="448"/>
        <w:jc w:val="both"/>
        <w:rPr>
          <w:rFonts w:hint="default" w:ascii="Tahoma" w:hAnsi="Tahoma" w:cs="Tahoma"/>
          <w:lang w:val="id-ID"/>
        </w:rPr>
      </w:pPr>
      <w:r>
        <w:rPr>
          <w:rFonts w:hint="default" w:ascii="Tahoma" w:hAnsi="Tahoma" w:cs="Tahoma"/>
          <w:lang w:val="id-ID"/>
        </w:rPr>
        <w:t>Revitalisasi</w:t>
      </w:r>
      <w:r>
        <w:rPr>
          <w:rFonts w:hint="default" w:ascii="Tahoma" w:hAnsi="Tahoma" w:cs="Tahoma"/>
          <w:lang w:val="en-US"/>
        </w:rPr>
        <w:t xml:space="preserve"> </w:t>
      </w:r>
      <w:r>
        <w:rPr>
          <w:rFonts w:hint="default" w:ascii="Tahoma" w:hAnsi="Tahoma" w:cs="Tahoma"/>
          <w:lang w:val="id-ID"/>
        </w:rPr>
        <w:t>BUMD</w:t>
      </w:r>
      <w:r>
        <w:rPr>
          <w:rFonts w:hint="default" w:ascii="Tahoma" w:hAnsi="Tahoma" w:cs="Tahoma"/>
          <w:lang w:val="en-US"/>
        </w:rPr>
        <w:t xml:space="preserve"> </w:t>
      </w:r>
      <w:r>
        <w:rPr>
          <w:rFonts w:hint="default" w:ascii="Tahoma" w:hAnsi="Tahoma" w:cs="Tahoma"/>
          <w:lang w:val="id-ID"/>
        </w:rPr>
        <w:t>melalui</w:t>
      </w:r>
      <w:r>
        <w:rPr>
          <w:rFonts w:hint="default" w:ascii="Tahoma" w:hAnsi="Tahoma" w:cs="Tahoma"/>
          <w:lang w:val="en-US"/>
        </w:rPr>
        <w:t xml:space="preserve"> </w:t>
      </w:r>
      <w:r>
        <w:rPr>
          <w:rFonts w:hint="default" w:ascii="Tahoma" w:hAnsi="Tahoma" w:cs="Tahoma"/>
          <w:lang w:val="id-ID"/>
        </w:rPr>
        <w:t>berbagai</w:t>
      </w:r>
      <w:r>
        <w:rPr>
          <w:rFonts w:hint="default" w:ascii="Tahoma" w:hAnsi="Tahoma" w:cs="Tahoma"/>
          <w:lang w:val="en-US"/>
        </w:rPr>
        <w:t xml:space="preserve"> </w:t>
      </w:r>
      <w:r>
        <w:rPr>
          <w:rFonts w:hint="default" w:ascii="Tahoma" w:hAnsi="Tahoma" w:cs="Tahoma"/>
          <w:lang w:val="id-ID"/>
        </w:rPr>
        <w:t>upaya</w:t>
      </w:r>
      <w:r>
        <w:rPr>
          <w:rFonts w:hint="default" w:ascii="Tahoma" w:hAnsi="Tahoma" w:cs="Tahoma"/>
        </w:rPr>
        <w:t xml:space="preserve"> diantaranya </w:t>
      </w:r>
      <w:r>
        <w:rPr>
          <w:rFonts w:hint="default" w:ascii="Tahoma" w:hAnsi="Tahoma" w:cs="Tahoma"/>
          <w:lang w:val="id-ID"/>
        </w:rPr>
        <w:t>pengelolaan</w:t>
      </w:r>
      <w:r>
        <w:rPr>
          <w:rFonts w:hint="default" w:ascii="Tahoma" w:hAnsi="Tahoma" w:cs="Tahoma"/>
          <w:lang w:val="en-US"/>
        </w:rPr>
        <w:t xml:space="preserve"> </w:t>
      </w:r>
      <w:r>
        <w:rPr>
          <w:rFonts w:hint="default" w:ascii="Tahoma" w:hAnsi="Tahoma" w:cs="Tahoma"/>
          <w:lang w:val="id-ID"/>
        </w:rPr>
        <w:t>BUMD</w:t>
      </w:r>
      <w:r>
        <w:rPr>
          <w:rFonts w:hint="default" w:ascii="Tahoma" w:hAnsi="Tahoma" w:cs="Tahoma"/>
          <w:lang w:val="en-US"/>
        </w:rPr>
        <w:t xml:space="preserve"> </w:t>
      </w:r>
      <w:r>
        <w:rPr>
          <w:rFonts w:hint="default" w:ascii="Tahoma" w:hAnsi="Tahoma" w:cs="Tahoma"/>
          <w:lang w:val="id-ID"/>
        </w:rPr>
        <w:t>secara profesional, peningkatan sarana, prasarana, kemudahan prosedur pelayanan terhadap konsumen/nasabah, serta mengoptimalkan peran</w:t>
      </w:r>
      <w:r>
        <w:rPr>
          <w:rFonts w:hint="default" w:ascii="Tahoma" w:hAnsi="Tahoma" w:cs="Tahoma"/>
          <w:lang w:val="en-US"/>
        </w:rPr>
        <w:t xml:space="preserve"> </w:t>
      </w:r>
      <w:r>
        <w:rPr>
          <w:rFonts w:hint="default" w:ascii="Tahoma" w:hAnsi="Tahoma" w:cs="Tahoma"/>
          <w:lang w:val="id-ID"/>
        </w:rPr>
        <w:t>Badan</w:t>
      </w:r>
      <w:r>
        <w:rPr>
          <w:rFonts w:hint="default" w:ascii="Tahoma" w:hAnsi="Tahoma" w:cs="Tahoma"/>
          <w:lang w:val="en-US"/>
        </w:rPr>
        <w:t xml:space="preserve"> </w:t>
      </w:r>
      <w:r>
        <w:rPr>
          <w:rFonts w:hint="default" w:ascii="Tahoma" w:hAnsi="Tahoma" w:cs="Tahoma"/>
          <w:lang w:val="id-ID"/>
        </w:rPr>
        <w:t>Pengawas,</w:t>
      </w:r>
      <w:r>
        <w:rPr>
          <w:rFonts w:hint="default" w:ascii="Tahoma" w:hAnsi="Tahoma" w:cs="Tahoma"/>
          <w:lang w:val="en-US"/>
        </w:rPr>
        <w:t xml:space="preserve"> </w:t>
      </w:r>
      <w:r>
        <w:rPr>
          <w:rFonts w:hint="default" w:ascii="Tahoma" w:hAnsi="Tahoma" w:cs="Tahoma"/>
          <w:lang w:val="id-ID"/>
        </w:rPr>
        <w:t>agar</w:t>
      </w:r>
      <w:r>
        <w:rPr>
          <w:rFonts w:hint="default" w:ascii="Tahoma" w:hAnsi="Tahoma" w:cs="Tahoma"/>
          <w:lang w:val="en-US"/>
        </w:rPr>
        <w:t xml:space="preserve"> </w:t>
      </w:r>
      <w:r>
        <w:rPr>
          <w:rFonts w:hint="default" w:ascii="Tahoma" w:hAnsi="Tahoma" w:cs="Tahoma"/>
          <w:lang w:val="id-ID"/>
        </w:rPr>
        <w:t>BUMD</w:t>
      </w:r>
      <w:r>
        <w:rPr>
          <w:rFonts w:hint="default" w:ascii="Tahoma" w:hAnsi="Tahoma" w:cs="Tahoma"/>
          <w:lang w:val="en-US"/>
        </w:rPr>
        <w:t xml:space="preserve"> </w:t>
      </w:r>
      <w:r>
        <w:rPr>
          <w:rFonts w:hint="default" w:ascii="Tahoma" w:hAnsi="Tahoma" w:cs="Tahoma"/>
          <w:lang w:val="id-ID"/>
        </w:rPr>
        <w:t>berjalan</w:t>
      </w:r>
      <w:r>
        <w:rPr>
          <w:rFonts w:hint="default" w:ascii="Tahoma" w:hAnsi="Tahoma" w:cs="Tahoma"/>
          <w:lang w:val="en-US"/>
        </w:rPr>
        <w:t xml:space="preserve"> </w:t>
      </w:r>
      <w:r>
        <w:rPr>
          <w:rFonts w:hint="default" w:ascii="Tahoma" w:hAnsi="Tahoma" w:cs="Tahoma"/>
          <w:lang w:val="id-ID"/>
        </w:rPr>
        <w:t>sesuai</w:t>
      </w:r>
      <w:r>
        <w:rPr>
          <w:rFonts w:hint="default" w:ascii="Tahoma" w:hAnsi="Tahoma" w:cs="Tahoma"/>
          <w:lang w:val="en-US"/>
        </w:rPr>
        <w:t xml:space="preserve"> </w:t>
      </w:r>
      <w:r>
        <w:rPr>
          <w:rFonts w:hint="default" w:ascii="Tahoma" w:hAnsi="Tahoma" w:cs="Tahoma"/>
          <w:lang w:val="id-ID"/>
        </w:rPr>
        <w:t>dengan</w:t>
      </w:r>
      <w:r>
        <w:rPr>
          <w:rFonts w:hint="default" w:ascii="Tahoma" w:hAnsi="Tahoma" w:cs="Tahoma"/>
          <w:lang w:val="en-US"/>
        </w:rPr>
        <w:t xml:space="preserve"> </w:t>
      </w:r>
      <w:r>
        <w:rPr>
          <w:rFonts w:hint="default" w:ascii="Tahoma" w:hAnsi="Tahoma" w:cs="Tahoma"/>
          <w:lang w:val="id-ID"/>
        </w:rPr>
        <w:t>peraturan sehingga mampu bersaing dan mendapat kepercayaan dari perbankan</w:t>
      </w:r>
      <w:r>
        <w:rPr>
          <w:rFonts w:hint="default" w:ascii="Tahoma" w:hAnsi="Tahoma" w:cs="Tahoma"/>
        </w:rPr>
        <w:t>.</w:t>
      </w:r>
    </w:p>
    <w:p>
      <w:pPr>
        <w:pStyle w:val="30"/>
        <w:widowControl w:val="0"/>
        <w:numPr>
          <w:ilvl w:val="1"/>
          <w:numId w:val="37"/>
        </w:numPr>
        <w:autoSpaceDE w:val="0"/>
        <w:autoSpaceDN w:val="0"/>
        <w:spacing w:after="0" w:line="360" w:lineRule="auto"/>
        <w:ind w:left="1108" w:right="132" w:hanging="448"/>
        <w:jc w:val="both"/>
        <w:rPr>
          <w:rFonts w:hint="default" w:ascii="Tahoma" w:hAnsi="Tahoma" w:cs="Tahoma"/>
          <w:lang w:val="id-ID"/>
        </w:rPr>
      </w:pPr>
      <w:r>
        <w:rPr>
          <w:rFonts w:hint="default" w:ascii="Tahoma" w:hAnsi="Tahoma" w:cs="Tahoma"/>
          <w:lang w:val="id-ID"/>
        </w:rPr>
        <w:t>Optimalisasi</w:t>
      </w:r>
      <w:r>
        <w:rPr>
          <w:rFonts w:hint="default" w:ascii="Tahoma" w:hAnsi="Tahoma" w:cs="Tahoma"/>
          <w:lang w:val="en-US"/>
        </w:rPr>
        <w:t xml:space="preserve"> </w:t>
      </w:r>
      <w:r>
        <w:rPr>
          <w:rFonts w:hint="default" w:ascii="Tahoma" w:hAnsi="Tahoma" w:cs="Tahoma"/>
          <w:lang w:val="id-ID"/>
        </w:rPr>
        <w:t>pemberdayaan</w:t>
      </w:r>
      <w:r>
        <w:rPr>
          <w:rFonts w:hint="default" w:ascii="Tahoma" w:hAnsi="Tahoma" w:cs="Tahoma"/>
          <w:lang w:val="en-US"/>
        </w:rPr>
        <w:t xml:space="preserve"> </w:t>
      </w:r>
      <w:r>
        <w:rPr>
          <w:rFonts w:hint="default" w:ascii="Tahoma" w:hAnsi="Tahoma" w:cs="Tahoma"/>
          <w:lang w:val="id-ID"/>
        </w:rPr>
        <w:t>dan</w:t>
      </w:r>
      <w:r>
        <w:rPr>
          <w:rFonts w:hint="default" w:ascii="Tahoma" w:hAnsi="Tahoma" w:cs="Tahoma"/>
          <w:lang w:val="en-US"/>
        </w:rPr>
        <w:t xml:space="preserve"> </w:t>
      </w:r>
      <w:r>
        <w:rPr>
          <w:rFonts w:hint="default" w:ascii="Tahoma" w:hAnsi="Tahoma" w:cs="Tahoma"/>
          <w:lang w:val="id-ID"/>
        </w:rPr>
        <w:t>pendayagunaan</w:t>
      </w:r>
      <w:r>
        <w:rPr>
          <w:rFonts w:hint="default" w:ascii="Tahoma" w:hAnsi="Tahoma" w:cs="Tahoma"/>
          <w:lang w:val="en-US"/>
        </w:rPr>
        <w:t xml:space="preserve"> </w:t>
      </w:r>
      <w:r>
        <w:rPr>
          <w:rFonts w:hint="default" w:ascii="Tahoma" w:hAnsi="Tahoma" w:cs="Tahoma"/>
          <w:lang w:val="id-ID"/>
        </w:rPr>
        <w:t>aset</w:t>
      </w:r>
      <w:r>
        <w:rPr>
          <w:rFonts w:hint="default" w:ascii="Tahoma" w:hAnsi="Tahoma" w:cs="Tahoma"/>
          <w:lang w:val="en-US"/>
        </w:rPr>
        <w:t xml:space="preserve"> </w:t>
      </w:r>
      <w:r>
        <w:rPr>
          <w:rFonts w:hint="default" w:ascii="Tahoma" w:hAnsi="Tahoma" w:cs="Tahoma"/>
          <w:lang w:val="id-ID"/>
        </w:rPr>
        <w:t>yang</w:t>
      </w:r>
      <w:r>
        <w:rPr>
          <w:rFonts w:hint="default" w:ascii="Tahoma" w:hAnsi="Tahoma" w:cs="Tahoma"/>
          <w:lang w:val="en-US"/>
        </w:rPr>
        <w:t xml:space="preserve"> </w:t>
      </w:r>
      <w:r>
        <w:rPr>
          <w:rFonts w:hint="default" w:ascii="Tahoma" w:hAnsi="Tahoma" w:cs="Tahoma"/>
          <w:lang w:val="id-ID"/>
        </w:rPr>
        <w:t>diarahkan pada peningkatan pendapatan asli daerah</w:t>
      </w:r>
      <w:r>
        <w:rPr>
          <w:rFonts w:hint="default" w:ascii="Tahoma" w:hAnsi="Tahoma" w:cs="Tahoma"/>
        </w:rPr>
        <w:t>.</w:t>
      </w:r>
    </w:p>
    <w:p>
      <w:pPr>
        <w:pStyle w:val="30"/>
        <w:widowControl w:val="0"/>
        <w:numPr>
          <w:ilvl w:val="1"/>
          <w:numId w:val="37"/>
        </w:numPr>
        <w:autoSpaceDE w:val="0"/>
        <w:autoSpaceDN w:val="0"/>
        <w:spacing w:after="0" w:line="360" w:lineRule="auto"/>
        <w:ind w:left="1108" w:right="130" w:hanging="448"/>
        <w:jc w:val="both"/>
        <w:rPr>
          <w:rFonts w:hint="default" w:ascii="Tahoma" w:hAnsi="Tahoma" w:cs="Tahoma"/>
          <w:lang w:val="id-ID"/>
        </w:rPr>
      </w:pPr>
      <w:r>
        <w:rPr>
          <w:rFonts w:hint="default" w:ascii="Tahoma" w:hAnsi="Tahoma" w:cs="Tahoma"/>
          <w:lang w:val="id-ID"/>
        </w:rPr>
        <w:t xml:space="preserve">Melakukan koordinasi dengan Kementerian Dalam Negeri dan Kementerian Keuangan pada tataran kebijakan, dengan POLRI dan </w:t>
      </w:r>
      <w:r>
        <w:rPr>
          <w:rFonts w:hint="default" w:ascii="Tahoma" w:hAnsi="Tahoma" w:cs="Tahoma"/>
        </w:rPr>
        <w:t>K</w:t>
      </w:r>
      <w:r>
        <w:rPr>
          <w:rFonts w:hint="default" w:ascii="Tahoma" w:hAnsi="Tahoma" w:cs="Tahoma"/>
          <w:lang w:val="id-ID"/>
        </w:rPr>
        <w:t>abupaten/</w:t>
      </w:r>
      <w:r>
        <w:rPr>
          <w:rFonts w:hint="default" w:ascii="Tahoma" w:hAnsi="Tahoma" w:cs="Tahoma"/>
        </w:rPr>
        <w:t>K</w:t>
      </w:r>
      <w:r>
        <w:rPr>
          <w:rFonts w:hint="default" w:ascii="Tahoma" w:hAnsi="Tahoma" w:cs="Tahoma"/>
          <w:lang w:val="id-ID"/>
        </w:rPr>
        <w:t>ota termasuk dengan daerah perbatasan, dalam operasional pemungutan dan pelayanan Pendapatan Daerah, serta mengembangkan sinergitas pelaksanaan tugas dengan OPD penghasil.</w:t>
      </w:r>
    </w:p>
    <w:p>
      <w:pPr>
        <w:pStyle w:val="30"/>
        <w:widowControl w:val="0"/>
        <w:numPr>
          <w:ilvl w:val="1"/>
          <w:numId w:val="37"/>
        </w:numPr>
        <w:autoSpaceDE w:val="0"/>
        <w:autoSpaceDN w:val="0"/>
        <w:spacing w:after="0" w:line="360" w:lineRule="auto"/>
        <w:ind w:left="1108" w:right="135" w:hanging="448"/>
        <w:jc w:val="both"/>
        <w:rPr>
          <w:rFonts w:hint="default" w:ascii="Tahoma" w:hAnsi="Tahoma" w:cs="Tahoma"/>
          <w:lang w:val="id-ID"/>
        </w:rPr>
      </w:pPr>
      <w:r>
        <w:rPr>
          <w:rFonts w:hint="default" w:ascii="Tahoma" w:hAnsi="Tahoma" w:cs="Tahoma"/>
        </w:rPr>
        <w:t>Kerja sama dengan Kementerian Keuangan cq. Dirjen Pajak untuk melakukan s</w:t>
      </w:r>
      <w:r>
        <w:rPr>
          <w:rFonts w:hint="default" w:ascii="Tahoma" w:hAnsi="Tahoma" w:cs="Tahoma"/>
          <w:lang w:val="id-ID"/>
        </w:rPr>
        <w:t>osialisasi secara terus menerus mengenai pungutan pajak penghasilan</w:t>
      </w:r>
      <w:r>
        <w:rPr>
          <w:rFonts w:hint="default" w:ascii="Tahoma" w:hAnsi="Tahoma" w:cs="Tahoma"/>
          <w:lang w:val="en-US"/>
        </w:rPr>
        <w:t xml:space="preserve"> </w:t>
      </w:r>
      <w:r>
        <w:rPr>
          <w:rFonts w:hint="default" w:ascii="Tahoma" w:hAnsi="Tahoma" w:cs="Tahoma"/>
          <w:lang w:val="id-ID"/>
        </w:rPr>
        <w:t>dalam</w:t>
      </w:r>
      <w:r>
        <w:rPr>
          <w:rFonts w:hint="default" w:ascii="Tahoma" w:hAnsi="Tahoma" w:cs="Tahoma"/>
          <w:lang w:val="en-US"/>
        </w:rPr>
        <w:t xml:space="preserve"> </w:t>
      </w:r>
      <w:r>
        <w:rPr>
          <w:rFonts w:hint="default" w:ascii="Tahoma" w:hAnsi="Tahoma" w:cs="Tahoma"/>
          <w:lang w:val="id-ID"/>
        </w:rPr>
        <w:t>upaya</w:t>
      </w:r>
      <w:r>
        <w:rPr>
          <w:rFonts w:hint="default" w:ascii="Tahoma" w:hAnsi="Tahoma" w:cs="Tahoma"/>
          <w:lang w:val="en-US"/>
        </w:rPr>
        <w:t xml:space="preserve"> </w:t>
      </w:r>
      <w:r>
        <w:rPr>
          <w:rFonts w:hint="default" w:ascii="Tahoma" w:hAnsi="Tahoma" w:cs="Tahoma"/>
          <w:lang w:val="id-ID"/>
        </w:rPr>
        <w:t>peningkatan</w:t>
      </w:r>
      <w:r>
        <w:rPr>
          <w:rFonts w:hint="default" w:ascii="Tahoma" w:hAnsi="Tahoma" w:cs="Tahoma"/>
          <w:lang w:val="en-US"/>
        </w:rPr>
        <w:t xml:space="preserve"> </w:t>
      </w:r>
      <w:r>
        <w:rPr>
          <w:rFonts w:hint="default" w:ascii="Tahoma" w:hAnsi="Tahoma" w:cs="Tahoma"/>
          <w:lang w:val="id-ID"/>
        </w:rPr>
        <w:t>kesadaran</w:t>
      </w:r>
      <w:r>
        <w:rPr>
          <w:rFonts w:hint="default" w:ascii="Tahoma" w:hAnsi="Tahoma" w:cs="Tahoma"/>
          <w:lang w:val="en-US"/>
        </w:rPr>
        <w:t xml:space="preserve"> </w:t>
      </w:r>
      <w:r>
        <w:rPr>
          <w:rFonts w:hint="default" w:ascii="Tahoma" w:hAnsi="Tahoma" w:cs="Tahoma"/>
          <w:lang w:val="id-ID"/>
        </w:rPr>
        <w:t>masyarakat</w:t>
      </w:r>
      <w:r>
        <w:rPr>
          <w:rFonts w:hint="default" w:ascii="Tahoma" w:hAnsi="Tahoma" w:cs="Tahoma"/>
          <w:lang w:val="en-US"/>
        </w:rPr>
        <w:t xml:space="preserve"> </w:t>
      </w:r>
      <w:r>
        <w:rPr>
          <w:rFonts w:hint="default" w:ascii="Tahoma" w:hAnsi="Tahoma" w:cs="Tahoma"/>
          <w:lang w:val="id-ID"/>
        </w:rPr>
        <w:t>dalam pembayaran</w:t>
      </w:r>
      <w:r>
        <w:rPr>
          <w:rFonts w:hint="default" w:ascii="Tahoma" w:hAnsi="Tahoma" w:cs="Tahoma"/>
          <w:lang w:val="en-US"/>
        </w:rPr>
        <w:t xml:space="preserve"> </w:t>
      </w:r>
      <w:r>
        <w:rPr>
          <w:rFonts w:hint="default" w:ascii="Tahoma" w:hAnsi="Tahoma" w:cs="Tahoma"/>
          <w:lang w:val="id-ID"/>
        </w:rPr>
        <w:t>pajak</w:t>
      </w:r>
      <w:r>
        <w:rPr>
          <w:rFonts w:hint="default" w:ascii="Tahoma" w:hAnsi="Tahoma" w:cs="Tahoma"/>
        </w:rPr>
        <w:t>.</w:t>
      </w:r>
    </w:p>
    <w:p>
      <w:pPr>
        <w:pStyle w:val="30"/>
        <w:widowControl w:val="0"/>
        <w:numPr>
          <w:ilvl w:val="1"/>
          <w:numId w:val="37"/>
        </w:numPr>
        <w:autoSpaceDE w:val="0"/>
        <w:autoSpaceDN w:val="0"/>
        <w:spacing w:after="0" w:line="360" w:lineRule="auto"/>
        <w:ind w:left="1108" w:right="135" w:hanging="448"/>
        <w:jc w:val="both"/>
        <w:rPr>
          <w:rFonts w:hint="default" w:ascii="Tahoma" w:hAnsi="Tahoma" w:cs="Tahoma"/>
          <w:lang w:val="id-ID"/>
        </w:rPr>
      </w:pPr>
      <w:r>
        <w:rPr>
          <w:rFonts w:hint="default" w:ascii="Tahoma" w:hAnsi="Tahoma" w:cs="Tahoma"/>
          <w:lang w:val="fi-FI"/>
        </w:rPr>
        <w:t>Mengadakan rapat koordinasi bersama Kanwil Pajak Sumbar-Jambi  dengan Badan Pendapatan Kabupaten/Kota se Sumateara Barat, untuk melakukan  pembinaan dan pengawasan  serta memonitor penyetoran PPh Pasal 21  dari perusahaan</w:t>
      </w:r>
      <w:r>
        <w:rPr>
          <w:rFonts w:hint="default" w:ascii="Tahoma" w:hAnsi="Tahoma" w:cs="Tahoma"/>
          <w:lang w:val="id-ID"/>
        </w:rPr>
        <w:t>-perusahaan</w:t>
      </w:r>
      <w:r>
        <w:rPr>
          <w:rFonts w:hint="default" w:ascii="Tahoma" w:hAnsi="Tahoma" w:cs="Tahoma"/>
          <w:lang w:val="fi-FI"/>
        </w:rPr>
        <w:t xml:space="preserve"> swasta yang ada di Sumatera Barat</w:t>
      </w:r>
      <w:r>
        <w:rPr>
          <w:rFonts w:hint="default" w:ascii="Tahoma" w:hAnsi="Tahoma" w:cs="Tahoma"/>
        </w:rPr>
        <w:t>.</w:t>
      </w:r>
    </w:p>
    <w:p>
      <w:pPr>
        <w:pStyle w:val="30"/>
        <w:widowControl w:val="0"/>
        <w:numPr>
          <w:ilvl w:val="0"/>
          <w:numId w:val="0"/>
        </w:numPr>
        <w:autoSpaceDE w:val="0"/>
        <w:autoSpaceDN w:val="0"/>
        <w:spacing w:beforeLines="50" w:after="0" w:line="360" w:lineRule="auto"/>
        <w:ind w:left="658" w:leftChars="0" w:right="136" w:rightChars="0"/>
        <w:jc w:val="both"/>
        <w:rPr>
          <w:rFonts w:hint="default" w:ascii="Tahoma" w:hAnsi="Tahoma" w:cs="Tahoma"/>
          <w:color w:val="000000"/>
          <w:lang w:val="id-ID"/>
        </w:rPr>
      </w:pPr>
    </w:p>
    <w:p>
      <w:pPr>
        <w:pStyle w:val="20"/>
        <w:numPr>
          <w:ilvl w:val="0"/>
          <w:numId w:val="0"/>
        </w:numPr>
        <w:spacing w:line="360" w:lineRule="auto"/>
        <w:ind w:left="658"/>
        <w:jc w:val="both"/>
        <w:rPr>
          <w:rFonts w:hint="default" w:ascii="Tahoma" w:hAnsi="Tahoma" w:cs="Tahoma"/>
          <w:bCs w:val="0"/>
          <w:color w:val="000000"/>
          <w:sz w:val="22"/>
          <w:szCs w:val="22"/>
          <w:lang w:val="id-ID"/>
        </w:rPr>
      </w:pPr>
      <w:r>
        <w:rPr>
          <w:rFonts w:hint="default" w:ascii="Tahoma" w:hAnsi="Tahoma" w:cs="Tahoma"/>
          <w:b w:val="0"/>
          <w:bCs w:val="0"/>
          <w:color w:val="000000"/>
          <w:sz w:val="22"/>
          <w:szCs w:val="22"/>
          <w:lang w:val="id-ID"/>
        </w:rPr>
        <w:t xml:space="preserve">Adapun realisasi sasaran strategis meningkatnya pendapatan asli daerah dapat dilihat sebagaimana tabel  dibawah ini : </w:t>
      </w:r>
    </w:p>
    <w:p>
      <w:pPr>
        <w:pStyle w:val="20"/>
        <w:numPr>
          <w:ilvl w:val="0"/>
          <w:numId w:val="0"/>
        </w:numPr>
        <w:spacing w:afterLines="50"/>
        <w:ind w:left="1417" w:hanging="11"/>
        <w:rPr>
          <w:rFonts w:hint="default" w:ascii="Tahoma" w:hAnsi="Tahoma" w:cs="Tahoma"/>
          <w:bCs w:val="0"/>
          <w:color w:val="000000"/>
          <w:sz w:val="22"/>
          <w:szCs w:val="22"/>
        </w:rPr>
      </w:pPr>
      <w:r>
        <w:rPr>
          <w:rFonts w:hint="default" w:ascii="Tahoma" w:hAnsi="Tahoma" w:cs="Tahoma"/>
          <w:bCs w:val="0"/>
          <w:color w:val="000000"/>
          <w:sz w:val="22"/>
          <w:szCs w:val="22"/>
          <w:lang w:val="id-ID"/>
        </w:rPr>
        <w:t xml:space="preserve">Tabel </w:t>
      </w:r>
      <w:r>
        <w:rPr>
          <w:rFonts w:hint="default" w:ascii="Tahoma" w:hAnsi="Tahoma" w:cs="Tahoma"/>
          <w:bCs w:val="0"/>
          <w:color w:val="000000"/>
          <w:sz w:val="22"/>
          <w:szCs w:val="22"/>
        </w:rPr>
        <w:t>3.</w:t>
      </w:r>
      <w:r>
        <w:rPr>
          <w:rFonts w:hint="default" w:ascii="Tahoma" w:hAnsi="Tahoma" w:cs="Tahoma"/>
          <w:bCs w:val="0"/>
          <w:color w:val="000000"/>
          <w:sz w:val="22"/>
          <w:szCs w:val="22"/>
          <w:lang w:val="en-US"/>
        </w:rPr>
        <w:t>6</w:t>
      </w:r>
    </w:p>
    <w:p>
      <w:pPr>
        <w:pStyle w:val="20"/>
        <w:numPr>
          <w:ilvl w:val="0"/>
          <w:numId w:val="0"/>
        </w:numPr>
        <w:ind w:left="1418" w:hanging="11"/>
        <w:rPr>
          <w:rFonts w:ascii="Tahoma" w:hAnsi="Tahoma" w:cs="Tahoma"/>
          <w:bCs w:val="0"/>
          <w:color w:val="000000"/>
          <w:sz w:val="22"/>
          <w:szCs w:val="22"/>
          <w:lang w:val="id-ID"/>
        </w:rPr>
      </w:pPr>
      <w:r>
        <w:rPr>
          <w:rFonts w:ascii="Tahoma" w:hAnsi="Tahoma" w:cs="Tahoma"/>
          <w:bCs w:val="0"/>
          <w:color w:val="000000"/>
          <w:sz w:val="22"/>
          <w:szCs w:val="22"/>
          <w:lang w:val="id-ID"/>
        </w:rPr>
        <w:t>Pengukuran Kinerja</w:t>
      </w:r>
    </w:p>
    <w:p>
      <w:pPr>
        <w:pStyle w:val="20"/>
        <w:numPr>
          <w:ilvl w:val="0"/>
          <w:numId w:val="0"/>
        </w:numPr>
        <w:ind w:left="1418" w:hanging="11"/>
        <w:rPr>
          <w:rFonts w:ascii="Tahoma" w:hAnsi="Tahoma" w:cs="Tahoma"/>
          <w:bCs w:val="0"/>
          <w:color w:val="000000"/>
          <w:sz w:val="22"/>
          <w:szCs w:val="22"/>
          <w:lang w:val="id-ID"/>
        </w:rPr>
      </w:pPr>
      <w:r>
        <w:rPr>
          <w:rFonts w:ascii="Tahoma" w:hAnsi="Tahoma" w:cs="Tahoma"/>
          <w:bCs w:val="0"/>
          <w:color w:val="000000"/>
          <w:sz w:val="22"/>
          <w:szCs w:val="22"/>
          <w:lang w:val="id-ID"/>
        </w:rPr>
        <w:t xml:space="preserve">Meningkatnya Pendapatan Asli Daerah </w:t>
      </w:r>
      <w:r>
        <w:rPr>
          <w:rFonts w:ascii="Tahoma" w:hAnsi="Tahoma" w:cs="Tahoma"/>
          <w:bCs w:val="0"/>
          <w:color w:val="000000"/>
          <w:sz w:val="22"/>
          <w:szCs w:val="22"/>
        </w:rPr>
        <w:t xml:space="preserve">Tahun </w:t>
      </w:r>
      <w:r>
        <w:rPr>
          <w:rFonts w:ascii="Tahoma" w:hAnsi="Tahoma" w:cs="Tahoma"/>
          <w:bCs w:val="0"/>
          <w:color w:val="000000"/>
          <w:sz w:val="22"/>
          <w:szCs w:val="22"/>
          <w:lang w:val="id-ID"/>
        </w:rPr>
        <w:t>2020</w:t>
      </w:r>
    </w:p>
    <w:p>
      <w:pPr>
        <w:spacing w:after="0" w:line="240" w:lineRule="auto"/>
        <w:ind w:left="540"/>
        <w:jc w:val="both"/>
        <w:rPr>
          <w:rFonts w:ascii="Tahoma" w:hAnsi="Tahoma" w:cs="Tahoma"/>
          <w:color w:val="000000"/>
          <w:lang w:val="id-ID"/>
        </w:rPr>
      </w:pPr>
    </w:p>
    <w:tbl>
      <w:tblPr>
        <w:tblStyle w:val="7"/>
        <w:tblW w:w="7781" w:type="dxa"/>
        <w:tblInd w:w="1331" w:type="dxa"/>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Layout w:type="fixed"/>
        <w:tblCellMar>
          <w:top w:w="0" w:type="dxa"/>
          <w:left w:w="108" w:type="dxa"/>
          <w:bottom w:w="0" w:type="dxa"/>
          <w:right w:w="108" w:type="dxa"/>
        </w:tblCellMar>
      </w:tblPr>
      <w:tblGrid>
        <w:gridCol w:w="547"/>
        <w:gridCol w:w="1741"/>
        <w:gridCol w:w="2648"/>
        <w:gridCol w:w="1184"/>
        <w:gridCol w:w="871"/>
        <w:gridCol w:w="790"/>
      </w:tblGrid>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rPr>
          <w:trHeight w:val="519" w:hRule="atLeast"/>
        </w:trPr>
        <w:tc>
          <w:tcPr>
            <w:tcW w:w="547" w:type="dxa"/>
            <w:vMerge w:val="restart"/>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No</w:t>
            </w:r>
          </w:p>
        </w:tc>
        <w:tc>
          <w:tcPr>
            <w:tcW w:w="1741" w:type="dxa"/>
            <w:vMerge w:val="restart"/>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SASARAN STRATEGIS</w:t>
            </w:r>
          </w:p>
        </w:tc>
        <w:tc>
          <w:tcPr>
            <w:tcW w:w="2648" w:type="dxa"/>
            <w:vMerge w:val="restart"/>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INDIKATOR KINERJA</w:t>
            </w:r>
          </w:p>
        </w:tc>
        <w:tc>
          <w:tcPr>
            <w:tcW w:w="2845" w:type="dxa"/>
            <w:gridSpan w:val="3"/>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CAPAIAN KINERJA</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rPr>
          <w:trHeight w:val="147" w:hRule="atLeast"/>
        </w:trPr>
        <w:tc>
          <w:tcPr>
            <w:tcW w:w="547" w:type="dxa"/>
            <w:vMerge w:val="continue"/>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p>
        </w:tc>
        <w:tc>
          <w:tcPr>
            <w:tcW w:w="1741" w:type="dxa"/>
            <w:vMerge w:val="continue"/>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p>
        </w:tc>
        <w:tc>
          <w:tcPr>
            <w:tcW w:w="2648" w:type="dxa"/>
            <w:vMerge w:val="continue"/>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p>
        </w:tc>
        <w:tc>
          <w:tcPr>
            <w:tcW w:w="1184" w:type="dxa"/>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TARGET</w:t>
            </w:r>
          </w:p>
        </w:tc>
        <w:tc>
          <w:tcPr>
            <w:tcW w:w="871" w:type="dxa"/>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REALI SASI</w:t>
            </w:r>
          </w:p>
        </w:tc>
        <w:tc>
          <w:tcPr>
            <w:tcW w:w="790" w:type="dxa"/>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rPr>
          <w:trHeight w:val="565" w:hRule="atLeast"/>
        </w:trPr>
        <w:tc>
          <w:tcPr>
            <w:tcW w:w="547"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3</w:t>
            </w:r>
          </w:p>
        </w:tc>
        <w:tc>
          <w:tcPr>
            <w:tcW w:w="1741" w:type="dxa"/>
            <w:shd w:val="clear" w:color="auto" w:fill="FFFFFF"/>
          </w:tcPr>
          <w:p>
            <w:pPr>
              <w:pStyle w:val="20"/>
              <w:numPr>
                <w:ilvl w:val="0"/>
                <w:numId w:val="0"/>
              </w:numPr>
              <w:spacing w:before="60" w:after="60"/>
              <w:jc w:val="left"/>
              <w:rPr>
                <w:rFonts w:ascii="Tahoma" w:hAnsi="Tahoma" w:cs="Tahoma"/>
                <w:bCs w:val="0"/>
                <w:color w:val="000000"/>
                <w:sz w:val="18"/>
                <w:szCs w:val="18"/>
                <w:lang w:val="id-ID"/>
              </w:rPr>
            </w:pPr>
            <w:r>
              <w:rPr>
                <w:rFonts w:ascii="Tahoma" w:hAnsi="Tahoma" w:cs="Tahoma"/>
                <w:bCs w:val="0"/>
                <w:color w:val="000000"/>
                <w:sz w:val="18"/>
                <w:szCs w:val="18"/>
                <w:lang w:val="id-ID"/>
              </w:rPr>
              <w:t>Meningkatnya Pendapatan Asli Daerah</w:t>
            </w:r>
          </w:p>
        </w:tc>
        <w:tc>
          <w:tcPr>
            <w:tcW w:w="2648" w:type="dxa"/>
            <w:shd w:val="clear" w:color="auto" w:fill="FFFFFF"/>
          </w:tcPr>
          <w:p>
            <w:pPr>
              <w:pStyle w:val="20"/>
              <w:numPr>
                <w:ilvl w:val="0"/>
                <w:numId w:val="0"/>
              </w:numPr>
              <w:tabs>
                <w:tab w:val="left" w:pos="175"/>
              </w:tabs>
              <w:spacing w:before="60" w:after="60"/>
              <w:ind w:left="175" w:hanging="142"/>
              <w:jc w:val="left"/>
              <w:rPr>
                <w:rFonts w:ascii="Tahoma" w:hAnsi="Tahoma" w:cs="Tahoma"/>
                <w:b w:val="0"/>
                <w:bCs w:val="0"/>
                <w:color w:val="000000"/>
                <w:sz w:val="18"/>
                <w:szCs w:val="18"/>
                <w:lang w:val="id-ID"/>
              </w:rPr>
            </w:pPr>
            <w:r>
              <w:rPr>
                <w:rFonts w:ascii="Tahoma" w:hAnsi="Tahoma" w:cs="Tahoma"/>
                <w:b w:val="0"/>
                <w:bCs w:val="0"/>
                <w:color w:val="000000"/>
                <w:sz w:val="18"/>
                <w:szCs w:val="18"/>
                <w:lang w:val="id-ID"/>
              </w:rPr>
              <w:t xml:space="preserve">- </w:t>
            </w:r>
            <w:r>
              <w:rPr>
                <w:rFonts w:ascii="Tahoma" w:hAnsi="Tahoma" w:cs="Tahoma"/>
                <w:b w:val="0"/>
                <w:bCs w:val="0"/>
                <w:color w:val="000000"/>
                <w:sz w:val="18"/>
                <w:szCs w:val="18"/>
                <w:lang w:val="id-ID"/>
              </w:rPr>
              <w:tab/>
            </w:r>
            <w:r>
              <w:rPr>
                <w:rFonts w:ascii="Tahoma" w:hAnsi="Tahoma" w:cs="Tahoma"/>
                <w:b w:val="0"/>
                <w:bCs w:val="0"/>
                <w:color w:val="000000"/>
                <w:sz w:val="18"/>
                <w:szCs w:val="18"/>
                <w:lang w:val="id-ID"/>
              </w:rPr>
              <w:t>Persentase Peningkatan Pendapatan Asli Daerah</w:t>
            </w:r>
          </w:p>
        </w:tc>
        <w:tc>
          <w:tcPr>
            <w:tcW w:w="1184"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-8,47</w:t>
            </w:r>
          </w:p>
        </w:tc>
        <w:tc>
          <w:tcPr>
            <w:tcW w:w="871" w:type="dxa"/>
            <w:shd w:val="clear" w:color="auto" w:fill="FFFFFF"/>
          </w:tcPr>
          <w:p>
            <w:pPr>
              <w:pStyle w:val="20"/>
              <w:numPr>
                <w:ilvl w:val="0"/>
                <w:numId w:val="0"/>
              </w:numPr>
              <w:spacing w:before="60" w:after="60"/>
              <w:jc w:val="left"/>
              <w:rPr>
                <w:rFonts w:ascii="Tahoma" w:hAnsi="Tahoma" w:cs="Tahoma"/>
                <w:b w:val="0"/>
                <w:bCs w:val="0"/>
                <w:sz w:val="18"/>
                <w:szCs w:val="18"/>
              </w:rPr>
            </w:pPr>
            <w:r>
              <w:rPr>
                <w:rFonts w:ascii="Tahoma" w:hAnsi="Tahoma" w:cs="Tahoma"/>
                <w:b w:val="0"/>
                <w:bCs w:val="0"/>
                <w:sz w:val="18"/>
                <w:szCs w:val="18"/>
                <w:lang w:val="id-ID"/>
              </w:rPr>
              <w:t>-</w:t>
            </w:r>
            <w:r>
              <w:rPr>
                <w:rFonts w:ascii="Tahoma" w:hAnsi="Tahoma" w:cs="Tahoma"/>
                <w:b w:val="0"/>
                <w:bCs w:val="0"/>
                <w:sz w:val="18"/>
                <w:szCs w:val="18"/>
              </w:rPr>
              <w:t>3,31</w:t>
            </w:r>
          </w:p>
        </w:tc>
        <w:tc>
          <w:tcPr>
            <w:tcW w:w="790" w:type="dxa"/>
            <w:shd w:val="clear" w:color="auto" w:fill="FFFFFF"/>
          </w:tcPr>
          <w:p>
            <w:pPr>
              <w:pStyle w:val="20"/>
              <w:numPr>
                <w:ilvl w:val="0"/>
                <w:numId w:val="0"/>
              </w:numPr>
              <w:spacing w:before="60" w:after="60"/>
              <w:jc w:val="left"/>
              <w:rPr>
                <w:rFonts w:ascii="Tahoma" w:hAnsi="Tahoma" w:cs="Tahoma"/>
                <w:b w:val="0"/>
                <w:bCs w:val="0"/>
                <w:sz w:val="18"/>
                <w:szCs w:val="18"/>
              </w:rPr>
            </w:pPr>
            <w:r>
              <w:rPr>
                <w:rFonts w:ascii="Tahoma" w:hAnsi="Tahoma" w:cs="Tahoma"/>
                <w:b w:val="0"/>
                <w:bCs w:val="0"/>
                <w:sz w:val="18"/>
                <w:szCs w:val="18"/>
              </w:rPr>
              <w:t>160</w:t>
            </w:r>
          </w:p>
        </w:tc>
      </w:tr>
    </w:tbl>
    <w:p>
      <w:pPr>
        <w:spacing w:line="360" w:lineRule="auto"/>
        <w:jc w:val="both"/>
        <w:rPr>
          <w:rFonts w:ascii="Tahoma" w:hAnsi="Tahoma" w:eastAsia="MS Mincho" w:cs="Tahoma"/>
          <w:lang w:val="id-ID"/>
        </w:rPr>
      </w:pPr>
    </w:p>
    <w:p>
      <w:pPr>
        <w:spacing w:before="240" w:after="0" w:line="360" w:lineRule="auto"/>
        <w:ind w:left="567" w:firstLine="567"/>
        <w:jc w:val="both"/>
        <w:rPr>
          <w:rFonts w:ascii="Tahoma" w:hAnsi="Tahoma" w:cs="Tahoma"/>
          <w:b/>
          <w:lang w:val="zh-CN"/>
        </w:rPr>
      </w:pPr>
      <w:r>
        <w:rPr>
          <w:rFonts w:ascii="Tahoma" w:hAnsi="Tahoma" w:eastAsia="MS Mincho" w:cs="Tahoma"/>
          <w:lang w:val="id-ID"/>
        </w:rPr>
        <w:t>Pendapatan Asli Daerah (PAD), dalam APBD Murni Tahun Anggaran 20</w:t>
      </w:r>
      <w:r>
        <w:rPr>
          <w:rFonts w:ascii="Tahoma" w:hAnsi="Tahoma" w:eastAsia="MS Mincho" w:cs="Tahoma"/>
        </w:rPr>
        <w:t>20</w:t>
      </w:r>
      <w:r>
        <w:rPr>
          <w:rFonts w:ascii="Tahoma" w:hAnsi="Tahoma" w:eastAsia="MS Mincho" w:cs="Tahoma"/>
          <w:lang w:val="id-ID"/>
        </w:rPr>
        <w:t xml:space="preserve"> ditargetkan sebesar Rp</w:t>
      </w:r>
      <w:r>
        <w:rPr>
          <w:rFonts w:ascii="Tahoma" w:hAnsi="Tahoma" w:eastAsia="MS Mincho" w:cs="Tahoma"/>
        </w:rPr>
        <w:t>.2.528.472.797.867</w:t>
      </w:r>
      <w:r>
        <w:rPr>
          <w:rFonts w:ascii="Tahoma" w:hAnsi="Tahoma" w:eastAsia="MS Mincho" w:cs="Tahoma"/>
          <w:lang w:val="id-ID"/>
        </w:rPr>
        <w:t>,</w:t>
      </w:r>
      <w:r>
        <w:rPr>
          <w:rFonts w:ascii="Tahoma" w:hAnsi="Tahoma" w:eastAsia="MS Mincho" w:cs="Tahoma"/>
        </w:rPr>
        <w:t>00</w:t>
      </w:r>
      <w:r>
        <w:rPr>
          <w:rFonts w:ascii="Tahoma" w:hAnsi="Tahoma" w:eastAsia="MS Mincho" w:cs="Tahoma"/>
          <w:lang w:val="id-ID"/>
        </w:rPr>
        <w:t xml:space="preserve"> pada perubahan APBD Tahun Anggaran 20</w:t>
      </w:r>
      <w:r>
        <w:rPr>
          <w:rFonts w:ascii="Tahoma" w:hAnsi="Tahoma" w:eastAsia="MS Mincho" w:cs="Tahoma"/>
        </w:rPr>
        <w:t>20</w:t>
      </w:r>
      <w:r>
        <w:rPr>
          <w:rFonts w:ascii="Tahoma" w:hAnsi="Tahoma" w:eastAsia="MS Mincho" w:cs="Tahoma"/>
          <w:lang w:val="id-ID"/>
        </w:rPr>
        <w:t xml:space="preserve"> ditargetkan sebesar </w:t>
      </w:r>
      <w:r>
        <w:rPr>
          <w:rFonts w:ascii="Tahoma" w:hAnsi="Tahoma" w:eastAsia="MS Mincho" w:cs="Tahoma"/>
        </w:rPr>
        <w:t>Rp.</w:t>
      </w:r>
      <w:r>
        <w:rPr>
          <w:rFonts w:ascii="Tahoma" w:hAnsi="Tahoma" w:eastAsia="MS Mincho" w:cs="Tahoma"/>
          <w:lang w:val="id-ID"/>
        </w:rPr>
        <w:t>2</w:t>
      </w:r>
      <w:r>
        <w:rPr>
          <w:rFonts w:ascii="Tahoma" w:hAnsi="Tahoma" w:eastAsia="MS Mincho" w:cs="Tahoma"/>
        </w:rPr>
        <w:t>.</w:t>
      </w:r>
      <w:r>
        <w:rPr>
          <w:rFonts w:ascii="Tahoma" w:hAnsi="Tahoma" w:eastAsia="MS Mincho" w:cs="Tahoma"/>
          <w:lang w:val="id-ID"/>
        </w:rPr>
        <w:t>174</w:t>
      </w:r>
      <w:r>
        <w:rPr>
          <w:rFonts w:ascii="Tahoma" w:hAnsi="Tahoma" w:eastAsia="MS Mincho" w:cs="Tahoma"/>
        </w:rPr>
        <w:t>.</w:t>
      </w:r>
      <w:r>
        <w:rPr>
          <w:rFonts w:ascii="Tahoma" w:hAnsi="Tahoma" w:eastAsia="MS Mincho" w:cs="Tahoma"/>
          <w:lang w:val="id-ID"/>
        </w:rPr>
        <w:t>615</w:t>
      </w:r>
      <w:r>
        <w:rPr>
          <w:rFonts w:ascii="Tahoma" w:hAnsi="Tahoma" w:eastAsia="MS Mincho" w:cs="Tahoma"/>
        </w:rPr>
        <w:t>.</w:t>
      </w:r>
      <w:r>
        <w:rPr>
          <w:rFonts w:ascii="Tahoma" w:hAnsi="Tahoma" w:eastAsia="MS Mincho" w:cs="Tahoma"/>
          <w:lang w:val="id-ID"/>
        </w:rPr>
        <w:t>145</w:t>
      </w:r>
      <w:r>
        <w:rPr>
          <w:rFonts w:ascii="Tahoma" w:hAnsi="Tahoma" w:eastAsia="MS Mincho" w:cs="Tahoma"/>
        </w:rPr>
        <w:t>.</w:t>
      </w:r>
      <w:r>
        <w:rPr>
          <w:rFonts w:ascii="Tahoma" w:hAnsi="Tahoma" w:eastAsia="MS Mincho" w:cs="Tahoma"/>
          <w:lang w:val="id-ID"/>
        </w:rPr>
        <w:t>097</w:t>
      </w:r>
      <w:r>
        <w:rPr>
          <w:rFonts w:ascii="Tahoma" w:hAnsi="Tahoma" w:eastAsia="MS Mincho" w:cs="Tahoma"/>
        </w:rPr>
        <w:t>,00</w:t>
      </w:r>
      <w:r>
        <w:rPr>
          <w:rFonts w:hint="default" w:ascii="Tahoma" w:hAnsi="Tahoma" w:eastAsia="MS Mincho" w:cs="Tahoma"/>
          <w:lang w:val="en-US"/>
        </w:rPr>
        <w:t xml:space="preserve"> </w:t>
      </w:r>
      <w:r>
        <w:rPr>
          <w:rFonts w:ascii="Tahoma" w:hAnsi="Tahoma" w:eastAsia="MS Mincho" w:cs="Tahoma"/>
          <w:lang w:val="id-ID"/>
        </w:rPr>
        <w:t>sedangkan realisasinya tercapai sebesar</w:t>
      </w:r>
      <w:r>
        <w:rPr>
          <w:rFonts w:ascii="Tahoma" w:hAnsi="Tahoma" w:eastAsia="MS Mincho" w:cs="Tahoma"/>
        </w:rPr>
        <w:t xml:space="preserve"> 103,50 </w:t>
      </w:r>
      <w:r>
        <w:rPr>
          <w:rFonts w:ascii="Tahoma" w:hAnsi="Tahoma" w:eastAsia="MS Mincho" w:cs="Tahoma"/>
          <w:lang w:val="id-ID"/>
        </w:rPr>
        <w:t xml:space="preserve">persen dari target yang telah ditetapkan dengan sektor Pajak Daerah menjadi penyumbang utama yaitu sebesar </w:t>
      </w:r>
      <w:r>
        <w:rPr>
          <w:rFonts w:ascii="Tahoma" w:hAnsi="Tahoma" w:eastAsia="MS Mincho" w:cs="Tahoma"/>
        </w:rPr>
        <w:t xml:space="preserve">80,41 </w:t>
      </w:r>
      <w:r>
        <w:rPr>
          <w:rFonts w:ascii="Tahoma" w:hAnsi="Tahoma" w:eastAsia="MS Mincho" w:cs="Tahoma"/>
          <w:lang w:val="id-ID"/>
        </w:rPr>
        <w:t>persen terhadap PAD. Pencapaian tersebut tidak lepas dari inovasi dalam pelayanan pajak</w:t>
      </w:r>
      <w:r>
        <w:rPr>
          <w:rFonts w:ascii="Tahoma" w:hAnsi="Tahoma" w:eastAsia="MS Mincho" w:cs="Tahoma"/>
        </w:rPr>
        <w:t xml:space="preserve"> daerah. </w:t>
      </w:r>
      <w:r>
        <w:rPr>
          <w:rFonts w:ascii="Tahoma" w:hAnsi="Tahoma" w:eastAsia="MS Mincho" w:cs="Tahoma"/>
          <w:lang w:val="id-ID"/>
        </w:rPr>
        <w:t>Target, realisasi dan kontribusi masing-masing rincian PAD terhadap total PAD Tahun Anggaran</w:t>
      </w:r>
      <w:r>
        <w:rPr>
          <w:rFonts w:ascii="Tahoma" w:hAnsi="Tahoma" w:eastAsia="MS Mincho" w:cs="Tahoma"/>
        </w:rPr>
        <w:t xml:space="preserve"> 2020 </w:t>
      </w:r>
      <w:r>
        <w:rPr>
          <w:rFonts w:ascii="Tahoma" w:hAnsi="Tahoma" w:eastAsia="MS Mincho" w:cs="Tahoma"/>
          <w:lang w:val="en-GB"/>
        </w:rPr>
        <w:t xml:space="preserve">disajikan pada tabel </w:t>
      </w:r>
      <w:r>
        <w:rPr>
          <w:rFonts w:hint="default" w:ascii="Tahoma" w:hAnsi="Tahoma" w:eastAsia="MS Mincho" w:cs="Tahoma"/>
          <w:lang w:val="en-US"/>
        </w:rPr>
        <w:t>berikut</w:t>
      </w:r>
      <w:r>
        <w:rPr>
          <w:rFonts w:ascii="Tahoma" w:hAnsi="Tahoma" w:eastAsia="MS Mincho" w:cs="Tahoma"/>
          <w:lang w:val="en-GB"/>
        </w:rPr>
        <w:t xml:space="preserve"> ini.</w:t>
      </w:r>
    </w:p>
    <w:p>
      <w:pPr>
        <w:spacing w:after="0" w:line="240" w:lineRule="auto"/>
        <w:jc w:val="center"/>
        <w:rPr>
          <w:rFonts w:hint="default" w:ascii="Tahoma" w:hAnsi="Tahoma" w:cs="Tahoma"/>
          <w:b/>
          <w:lang w:val="en-US"/>
        </w:rPr>
      </w:pPr>
      <w:r>
        <w:rPr>
          <w:rFonts w:ascii="Tahoma" w:hAnsi="Tahoma" w:cs="Tahoma"/>
          <w:b/>
          <w:lang w:val="zh-CN"/>
        </w:rPr>
        <w:t xml:space="preserve">Tabel </w:t>
      </w:r>
      <w:r>
        <w:rPr>
          <w:rFonts w:hint="default" w:ascii="Tahoma" w:hAnsi="Tahoma" w:cs="Tahoma"/>
          <w:b/>
          <w:lang w:val="en-US"/>
        </w:rPr>
        <w:t>3.7</w:t>
      </w:r>
    </w:p>
    <w:p>
      <w:pPr>
        <w:spacing w:after="0" w:line="240" w:lineRule="auto"/>
        <w:jc w:val="center"/>
        <w:rPr>
          <w:rFonts w:ascii="Tahoma" w:hAnsi="Tahoma" w:cs="Tahoma"/>
          <w:b/>
          <w:color w:val="000000" w:themeColor="text1"/>
          <w:lang w:val="id-ID"/>
          <w14:textFill>
            <w14:solidFill>
              <w14:schemeClr w14:val="tx1"/>
            </w14:solidFill>
          </w14:textFill>
        </w:rPr>
      </w:pPr>
      <w:r>
        <w:rPr>
          <w:rFonts w:ascii="Tahoma" w:hAnsi="Tahoma" w:cs="Tahoma"/>
          <w:b/>
          <w:color w:val="000000" w:themeColor="text1"/>
          <w:lang w:val="zh-CN"/>
          <w14:textFill>
            <w14:solidFill>
              <w14:schemeClr w14:val="tx1"/>
            </w14:solidFill>
          </w14:textFill>
        </w:rPr>
        <w:t>Target, Realisasi</w:t>
      </w:r>
      <w:r>
        <w:rPr>
          <w:rFonts w:ascii="Tahoma" w:hAnsi="Tahoma" w:cs="Tahoma"/>
          <w:b/>
          <w:color w:val="000000" w:themeColor="text1"/>
          <w:lang w:val="id-ID"/>
          <w14:textFill>
            <w14:solidFill>
              <w14:schemeClr w14:val="tx1"/>
            </w14:solidFill>
          </w14:textFill>
        </w:rPr>
        <w:t>,dan Kontribusi Rincian PAD</w:t>
      </w:r>
      <w:r>
        <w:rPr>
          <w:rFonts w:hint="default" w:ascii="Tahoma" w:hAnsi="Tahoma" w:cs="Tahoma"/>
          <w:b/>
          <w:color w:val="000000" w:themeColor="text1"/>
          <w:lang w:val="en-US"/>
          <w14:textFill>
            <w14:solidFill>
              <w14:schemeClr w14:val="tx1"/>
            </w14:solidFill>
          </w14:textFill>
        </w:rPr>
        <w:t xml:space="preserve"> </w:t>
      </w:r>
      <w:r>
        <w:rPr>
          <w:rFonts w:ascii="Tahoma" w:hAnsi="Tahoma" w:cs="Tahoma"/>
          <w:b/>
          <w:color w:val="000000" w:themeColor="text1"/>
          <w:lang w:val="zh-CN"/>
          <w14:textFill>
            <w14:solidFill>
              <w14:schemeClr w14:val="tx1"/>
            </w14:solidFill>
          </w14:textFill>
        </w:rPr>
        <w:t>Provinsi Sumatera Barat</w:t>
      </w:r>
    </w:p>
    <w:p>
      <w:pPr>
        <w:spacing w:after="0" w:line="240" w:lineRule="auto"/>
        <w:jc w:val="center"/>
        <w:rPr>
          <w:rFonts w:ascii="Tahoma" w:hAnsi="Tahoma" w:cs="Tahoma"/>
          <w:b/>
          <w:color w:val="000000" w:themeColor="text1"/>
          <w14:textFill>
            <w14:solidFill>
              <w14:schemeClr w14:val="tx1"/>
            </w14:solidFill>
          </w14:textFill>
        </w:rPr>
      </w:pPr>
      <w:r>
        <w:rPr>
          <w:rFonts w:ascii="Tahoma" w:hAnsi="Tahoma" w:cs="Tahoma"/>
          <w:b/>
          <w:color w:val="000000" w:themeColor="text1"/>
          <w:lang w:val="zh-CN"/>
          <w14:textFill>
            <w14:solidFill>
              <w14:schemeClr w14:val="tx1"/>
            </w14:solidFill>
          </w14:textFill>
        </w:rPr>
        <w:t>Tahun Anggaran 2020</w:t>
      </w:r>
    </w:p>
    <w:p>
      <w:pPr>
        <w:spacing w:after="0" w:line="240" w:lineRule="auto"/>
        <w:jc w:val="center"/>
        <w:rPr>
          <w:rFonts w:ascii="Tahoma" w:hAnsi="Tahoma" w:cs="Tahoma"/>
          <w:b/>
          <w:color w:val="000000" w:themeColor="text1"/>
          <w14:textFill>
            <w14:solidFill>
              <w14:schemeClr w14:val="tx1"/>
            </w14:solidFill>
          </w14:textFill>
        </w:rPr>
      </w:pPr>
    </w:p>
    <w:tbl>
      <w:tblPr>
        <w:tblStyle w:val="7"/>
        <w:tblW w:w="9530" w:type="dxa"/>
        <w:tblInd w:w="0" w:type="dxa"/>
        <w:tblLayout w:type="fixed"/>
        <w:tblCellMar>
          <w:top w:w="0" w:type="dxa"/>
          <w:left w:w="108" w:type="dxa"/>
          <w:bottom w:w="0" w:type="dxa"/>
          <w:right w:w="108" w:type="dxa"/>
        </w:tblCellMar>
      </w:tblPr>
      <w:tblGrid>
        <w:gridCol w:w="1700"/>
        <w:gridCol w:w="1980"/>
        <w:gridCol w:w="1980"/>
        <w:gridCol w:w="1980"/>
        <w:gridCol w:w="748"/>
        <w:gridCol w:w="1142"/>
      </w:tblGrid>
      <w:tr>
        <w:tblPrEx>
          <w:tblCellMar>
            <w:top w:w="0" w:type="dxa"/>
            <w:left w:w="108" w:type="dxa"/>
            <w:bottom w:w="0" w:type="dxa"/>
            <w:right w:w="108" w:type="dxa"/>
          </w:tblCellMar>
        </w:tblPrEx>
        <w:trPr>
          <w:trHeight w:val="315" w:hRule="atLeast"/>
        </w:trPr>
        <w:tc>
          <w:tcPr>
            <w:tcW w:w="1700" w:type="dxa"/>
            <w:vMerge w:val="restart"/>
            <w:tcBorders>
              <w:top w:val="single" w:color="9BBB59" w:sz="8" w:space="0"/>
              <w:left w:val="single" w:color="9BBB59" w:sz="8" w:space="0"/>
              <w:bottom w:val="single" w:color="9BBB59" w:sz="8" w:space="0"/>
              <w:right w:val="single" w:color="9BBB59" w:sz="8" w:space="0"/>
            </w:tcBorders>
            <w:shd w:val="clear" w:color="000000" w:fill="EAF1DD"/>
            <w:noWrap/>
            <w:vAlign w:val="center"/>
          </w:tcPr>
          <w:p>
            <w:pPr>
              <w:spacing w:after="0" w:line="240" w:lineRule="auto"/>
              <w:jc w:val="center"/>
              <w:rPr>
                <w:rFonts w:ascii="Tahoma" w:hAnsi="Tahoma" w:cs="Tahoma"/>
                <w:b/>
                <w:bCs/>
                <w:color w:val="000000"/>
                <w:sz w:val="16"/>
                <w:szCs w:val="16"/>
              </w:rPr>
            </w:pPr>
            <w:r>
              <w:rPr>
                <w:rFonts w:ascii="Tahoma" w:hAnsi="Tahoma" w:cs="Tahoma"/>
                <w:b/>
                <w:bCs/>
                <w:color w:val="000000"/>
                <w:sz w:val="16"/>
                <w:szCs w:val="16"/>
              </w:rPr>
              <w:t>Uraian</w:t>
            </w:r>
          </w:p>
        </w:tc>
        <w:tc>
          <w:tcPr>
            <w:tcW w:w="3960" w:type="dxa"/>
            <w:gridSpan w:val="2"/>
            <w:tcBorders>
              <w:top w:val="single" w:color="9BBB59" w:sz="8" w:space="0"/>
              <w:left w:val="nil"/>
              <w:bottom w:val="single" w:color="9BBB59" w:sz="8" w:space="0"/>
              <w:right w:val="single" w:color="9BBB59" w:sz="8" w:space="0"/>
            </w:tcBorders>
            <w:shd w:val="clear" w:color="000000" w:fill="EAF1DD"/>
            <w:noWrap/>
            <w:vAlign w:val="center"/>
          </w:tcPr>
          <w:p>
            <w:pPr>
              <w:spacing w:after="0" w:line="240" w:lineRule="auto"/>
              <w:jc w:val="center"/>
              <w:rPr>
                <w:rFonts w:ascii="Tahoma" w:hAnsi="Tahoma" w:cs="Tahoma"/>
                <w:b/>
                <w:bCs/>
                <w:color w:val="000000"/>
                <w:sz w:val="16"/>
                <w:szCs w:val="16"/>
              </w:rPr>
            </w:pPr>
            <w:r>
              <w:rPr>
                <w:rFonts w:ascii="Tahoma" w:hAnsi="Tahoma" w:cs="Tahoma"/>
                <w:b/>
                <w:bCs/>
                <w:color w:val="000000"/>
                <w:sz w:val="16"/>
                <w:szCs w:val="16"/>
              </w:rPr>
              <w:t>APBD Tahun Anggaran 2020</w:t>
            </w:r>
          </w:p>
        </w:tc>
        <w:tc>
          <w:tcPr>
            <w:tcW w:w="2728" w:type="dxa"/>
            <w:gridSpan w:val="2"/>
            <w:tcBorders>
              <w:top w:val="single" w:color="9BBB59" w:sz="8" w:space="0"/>
              <w:left w:val="nil"/>
              <w:bottom w:val="single" w:color="9BBB59" w:sz="8" w:space="0"/>
              <w:right w:val="single" w:color="9BBB59" w:sz="8" w:space="0"/>
            </w:tcBorders>
            <w:shd w:val="clear" w:color="000000" w:fill="EAF1DD"/>
            <w:noWrap/>
            <w:vAlign w:val="center"/>
          </w:tcPr>
          <w:p>
            <w:pPr>
              <w:spacing w:after="0" w:line="240" w:lineRule="auto"/>
              <w:jc w:val="center"/>
              <w:rPr>
                <w:rFonts w:ascii="Tahoma" w:hAnsi="Tahoma" w:cs="Tahoma"/>
                <w:b/>
                <w:bCs/>
                <w:color w:val="000000"/>
                <w:sz w:val="16"/>
                <w:szCs w:val="16"/>
              </w:rPr>
            </w:pPr>
            <w:r>
              <w:rPr>
                <w:rFonts w:ascii="Tahoma" w:hAnsi="Tahoma" w:cs="Tahoma"/>
                <w:b/>
                <w:bCs/>
                <w:color w:val="000000"/>
                <w:sz w:val="16"/>
                <w:szCs w:val="16"/>
              </w:rPr>
              <w:t>Realisasi</w:t>
            </w:r>
          </w:p>
        </w:tc>
        <w:tc>
          <w:tcPr>
            <w:tcW w:w="1142" w:type="dxa"/>
            <w:vMerge w:val="restart"/>
            <w:tcBorders>
              <w:top w:val="single" w:color="9BBB59" w:sz="8" w:space="0"/>
              <w:left w:val="single" w:color="9BBB59" w:sz="8" w:space="0"/>
              <w:bottom w:val="single" w:color="9BBB59" w:sz="8" w:space="0"/>
              <w:right w:val="single" w:color="9BBB59" w:sz="8" w:space="0"/>
            </w:tcBorders>
            <w:shd w:val="clear" w:color="000000" w:fill="EAF1DD"/>
            <w:vAlign w:val="center"/>
          </w:tcPr>
          <w:p>
            <w:pPr>
              <w:spacing w:after="0" w:line="240" w:lineRule="auto"/>
              <w:jc w:val="center"/>
              <w:rPr>
                <w:rFonts w:ascii="Tahoma" w:hAnsi="Tahoma" w:cs="Tahoma"/>
                <w:b/>
                <w:bCs/>
                <w:color w:val="000000"/>
                <w:sz w:val="16"/>
                <w:szCs w:val="16"/>
              </w:rPr>
            </w:pPr>
            <w:r>
              <w:rPr>
                <w:rFonts w:ascii="Tahoma" w:hAnsi="Tahoma" w:cs="Tahoma"/>
                <w:b/>
                <w:bCs/>
                <w:color w:val="000000"/>
                <w:sz w:val="16"/>
                <w:szCs w:val="16"/>
              </w:rPr>
              <w:t>Kontribusi terhadap PAD (%)</w:t>
            </w:r>
          </w:p>
        </w:tc>
      </w:tr>
      <w:tr>
        <w:trPr>
          <w:trHeight w:val="315" w:hRule="atLeast"/>
        </w:trPr>
        <w:tc>
          <w:tcPr>
            <w:tcW w:w="1700" w:type="dxa"/>
            <w:vMerge w:val="continue"/>
            <w:tcBorders>
              <w:top w:val="single" w:color="9BBB59" w:sz="8" w:space="0"/>
              <w:left w:val="single" w:color="9BBB59" w:sz="8" w:space="0"/>
              <w:bottom w:val="single" w:color="9BBB59" w:sz="8" w:space="0"/>
              <w:right w:val="single" w:color="9BBB59" w:sz="8" w:space="0"/>
            </w:tcBorders>
            <w:vAlign w:val="center"/>
          </w:tcPr>
          <w:p>
            <w:pPr>
              <w:spacing w:after="0" w:line="240" w:lineRule="auto"/>
              <w:rPr>
                <w:rFonts w:ascii="Tahoma" w:hAnsi="Tahoma" w:cs="Tahoma"/>
                <w:b/>
                <w:bCs/>
                <w:color w:val="000000"/>
                <w:sz w:val="16"/>
                <w:szCs w:val="16"/>
              </w:rPr>
            </w:pPr>
          </w:p>
        </w:tc>
        <w:tc>
          <w:tcPr>
            <w:tcW w:w="1980" w:type="dxa"/>
            <w:tcBorders>
              <w:top w:val="nil"/>
              <w:left w:val="nil"/>
              <w:bottom w:val="single" w:color="9BBB59" w:sz="8" w:space="0"/>
              <w:right w:val="single" w:color="9BBB59" w:sz="8" w:space="0"/>
            </w:tcBorders>
            <w:shd w:val="clear" w:color="000000" w:fill="EAF1DD"/>
            <w:noWrap/>
            <w:vAlign w:val="center"/>
          </w:tcPr>
          <w:p>
            <w:pPr>
              <w:spacing w:after="0" w:line="240" w:lineRule="auto"/>
              <w:jc w:val="center"/>
              <w:rPr>
                <w:rFonts w:ascii="Tahoma" w:hAnsi="Tahoma" w:cs="Tahoma"/>
                <w:b/>
                <w:bCs/>
                <w:color w:val="000000"/>
                <w:sz w:val="16"/>
                <w:szCs w:val="16"/>
              </w:rPr>
            </w:pPr>
            <w:r>
              <w:rPr>
                <w:rFonts w:ascii="Tahoma" w:hAnsi="Tahoma" w:cs="Tahoma"/>
                <w:b/>
                <w:bCs/>
                <w:color w:val="000000"/>
                <w:sz w:val="16"/>
                <w:szCs w:val="16"/>
              </w:rPr>
              <w:t>Murni (Rp)</w:t>
            </w:r>
          </w:p>
        </w:tc>
        <w:tc>
          <w:tcPr>
            <w:tcW w:w="1980" w:type="dxa"/>
            <w:tcBorders>
              <w:top w:val="nil"/>
              <w:left w:val="nil"/>
              <w:bottom w:val="single" w:color="9BBB59" w:sz="8" w:space="0"/>
              <w:right w:val="single" w:color="9BBB59" w:sz="8" w:space="0"/>
            </w:tcBorders>
            <w:shd w:val="clear" w:color="000000" w:fill="EAF1DD"/>
            <w:noWrap/>
            <w:vAlign w:val="center"/>
          </w:tcPr>
          <w:p>
            <w:pPr>
              <w:spacing w:after="0" w:line="240" w:lineRule="auto"/>
              <w:jc w:val="center"/>
              <w:rPr>
                <w:rFonts w:ascii="Tahoma" w:hAnsi="Tahoma" w:cs="Tahoma"/>
                <w:b/>
                <w:bCs/>
                <w:color w:val="000000"/>
                <w:sz w:val="16"/>
                <w:szCs w:val="16"/>
              </w:rPr>
            </w:pPr>
            <w:r>
              <w:rPr>
                <w:rFonts w:ascii="Tahoma" w:hAnsi="Tahoma" w:cs="Tahoma"/>
                <w:b/>
                <w:bCs/>
                <w:color w:val="000000"/>
                <w:sz w:val="16"/>
                <w:szCs w:val="16"/>
              </w:rPr>
              <w:t>Perubahan (Rp)</w:t>
            </w:r>
          </w:p>
        </w:tc>
        <w:tc>
          <w:tcPr>
            <w:tcW w:w="1980" w:type="dxa"/>
            <w:tcBorders>
              <w:top w:val="nil"/>
              <w:left w:val="nil"/>
              <w:bottom w:val="single" w:color="9BBB59" w:sz="8" w:space="0"/>
              <w:right w:val="single" w:color="9BBB59" w:sz="8" w:space="0"/>
            </w:tcBorders>
            <w:shd w:val="clear" w:color="000000" w:fill="EAF1DD"/>
            <w:noWrap/>
            <w:vAlign w:val="center"/>
          </w:tcPr>
          <w:p>
            <w:pPr>
              <w:spacing w:after="0" w:line="240" w:lineRule="auto"/>
              <w:jc w:val="center"/>
              <w:rPr>
                <w:rFonts w:ascii="Tahoma" w:hAnsi="Tahoma" w:cs="Tahoma"/>
                <w:b/>
                <w:bCs/>
                <w:color w:val="000000"/>
                <w:sz w:val="16"/>
                <w:szCs w:val="16"/>
              </w:rPr>
            </w:pPr>
            <w:r>
              <w:rPr>
                <w:rFonts w:ascii="Tahoma" w:hAnsi="Tahoma" w:cs="Tahoma"/>
                <w:b/>
                <w:bCs/>
                <w:color w:val="000000"/>
                <w:sz w:val="16"/>
                <w:szCs w:val="16"/>
              </w:rPr>
              <w:t>Rp</w:t>
            </w:r>
          </w:p>
        </w:tc>
        <w:tc>
          <w:tcPr>
            <w:tcW w:w="748" w:type="dxa"/>
            <w:tcBorders>
              <w:top w:val="nil"/>
              <w:left w:val="nil"/>
              <w:bottom w:val="single" w:color="9BBB59" w:sz="8" w:space="0"/>
              <w:right w:val="single" w:color="9BBB59" w:sz="8" w:space="0"/>
            </w:tcBorders>
            <w:shd w:val="clear" w:color="000000" w:fill="EAF1DD"/>
            <w:vAlign w:val="center"/>
          </w:tcPr>
          <w:p>
            <w:pPr>
              <w:spacing w:after="0" w:line="240" w:lineRule="auto"/>
              <w:jc w:val="center"/>
              <w:rPr>
                <w:rFonts w:ascii="Tahoma" w:hAnsi="Tahoma" w:cs="Tahoma"/>
                <w:b/>
                <w:bCs/>
                <w:color w:val="000000"/>
                <w:sz w:val="16"/>
                <w:szCs w:val="16"/>
              </w:rPr>
            </w:pPr>
            <w:r>
              <w:rPr>
                <w:rFonts w:ascii="Tahoma" w:hAnsi="Tahoma" w:cs="Tahoma"/>
                <w:b/>
                <w:bCs/>
                <w:color w:val="000000"/>
                <w:sz w:val="16"/>
                <w:szCs w:val="16"/>
              </w:rPr>
              <w:t>%</w:t>
            </w:r>
          </w:p>
        </w:tc>
        <w:tc>
          <w:tcPr>
            <w:tcW w:w="1142" w:type="dxa"/>
            <w:vMerge w:val="continue"/>
            <w:tcBorders>
              <w:top w:val="single" w:color="9BBB59" w:sz="8" w:space="0"/>
              <w:left w:val="single" w:color="9BBB59" w:sz="8" w:space="0"/>
              <w:bottom w:val="single" w:color="9BBB59" w:sz="8" w:space="0"/>
              <w:right w:val="single" w:color="9BBB59" w:sz="8" w:space="0"/>
            </w:tcBorders>
            <w:vAlign w:val="center"/>
          </w:tcPr>
          <w:p>
            <w:pPr>
              <w:spacing w:after="0" w:line="240" w:lineRule="auto"/>
              <w:rPr>
                <w:rFonts w:ascii="Tahoma" w:hAnsi="Tahoma" w:cs="Tahoma"/>
                <w:b/>
                <w:bCs/>
                <w:color w:val="000000"/>
                <w:sz w:val="16"/>
                <w:szCs w:val="16"/>
              </w:rPr>
            </w:pPr>
          </w:p>
        </w:tc>
      </w:tr>
      <w:tr>
        <w:tblPrEx>
          <w:tblCellMar>
            <w:top w:w="0" w:type="dxa"/>
            <w:left w:w="108" w:type="dxa"/>
            <w:bottom w:w="0" w:type="dxa"/>
            <w:right w:w="108" w:type="dxa"/>
          </w:tblCellMar>
        </w:tblPrEx>
        <w:trPr>
          <w:trHeight w:val="315" w:hRule="atLeast"/>
        </w:trPr>
        <w:tc>
          <w:tcPr>
            <w:tcW w:w="1700" w:type="dxa"/>
            <w:tcBorders>
              <w:top w:val="nil"/>
              <w:left w:val="single" w:color="9BBB59" w:sz="8" w:space="0"/>
              <w:bottom w:val="single" w:color="9BBB59" w:sz="8" w:space="0"/>
              <w:right w:val="single" w:color="9BBB59" w:sz="8" w:space="0"/>
            </w:tcBorders>
            <w:shd w:val="clear" w:color="auto" w:fill="auto"/>
            <w:noWrap/>
            <w:vAlign w:val="center"/>
          </w:tcPr>
          <w:p>
            <w:pPr>
              <w:spacing w:after="0" w:line="240" w:lineRule="auto"/>
              <w:rPr>
                <w:rFonts w:ascii="Tahoma" w:hAnsi="Tahoma" w:cs="Tahoma"/>
                <w:b/>
                <w:bCs/>
                <w:color w:val="000000"/>
                <w:sz w:val="16"/>
                <w:szCs w:val="16"/>
              </w:rPr>
            </w:pPr>
            <w:r>
              <w:rPr>
                <w:rFonts w:ascii="Tahoma" w:hAnsi="Tahoma" w:cs="Tahoma"/>
                <w:b/>
                <w:bCs/>
                <w:color w:val="000000"/>
                <w:sz w:val="16"/>
                <w:szCs w:val="16"/>
              </w:rPr>
              <w:t>Pajak Daerah</w:t>
            </w:r>
          </w:p>
        </w:tc>
        <w:tc>
          <w:tcPr>
            <w:tcW w:w="1980" w:type="dxa"/>
            <w:tcBorders>
              <w:top w:val="nil"/>
              <w:left w:val="nil"/>
              <w:bottom w:val="single" w:color="9BBB59" w:sz="8" w:space="0"/>
              <w:right w:val="single" w:color="9BBB59" w:sz="8" w:space="0"/>
            </w:tcBorders>
            <w:shd w:val="clear" w:color="auto" w:fill="auto"/>
            <w:noWrap/>
            <w:vAlign w:val="center"/>
          </w:tcPr>
          <w:p>
            <w:pPr>
              <w:spacing w:after="0" w:line="240" w:lineRule="auto"/>
              <w:jc w:val="right"/>
              <w:rPr>
                <w:rFonts w:ascii="Tahoma" w:hAnsi="Tahoma" w:cs="Tahoma"/>
                <w:color w:val="FF0000"/>
                <w:sz w:val="16"/>
                <w:szCs w:val="16"/>
              </w:rPr>
            </w:pPr>
            <w:r>
              <w:rPr>
                <w:rFonts w:ascii="Tahoma" w:hAnsi="Tahoma" w:cs="Tahoma"/>
                <w:sz w:val="16"/>
                <w:szCs w:val="16"/>
              </w:rPr>
              <w:t>1.956.425.000.000,00</w:t>
            </w:r>
          </w:p>
        </w:tc>
        <w:tc>
          <w:tcPr>
            <w:tcW w:w="1980" w:type="dxa"/>
            <w:tcBorders>
              <w:top w:val="nil"/>
              <w:left w:val="nil"/>
              <w:bottom w:val="single" w:color="9BBB59" w:sz="8" w:space="0"/>
              <w:right w:val="single" w:color="9BBB59" w:sz="8" w:space="0"/>
            </w:tcBorders>
            <w:shd w:val="clear" w:color="auto" w:fill="auto"/>
            <w:noWrap/>
            <w:vAlign w:val="center"/>
          </w:tcPr>
          <w:p>
            <w:pPr>
              <w:spacing w:after="0" w:line="240" w:lineRule="auto"/>
              <w:jc w:val="right"/>
              <w:rPr>
                <w:rFonts w:ascii="Tahoma" w:hAnsi="Tahoma" w:cs="Tahoma"/>
                <w:color w:val="FF0000"/>
                <w:sz w:val="16"/>
                <w:szCs w:val="16"/>
              </w:rPr>
            </w:pPr>
            <w:r>
              <w:rPr>
                <w:rFonts w:ascii="Tahoma" w:hAnsi="Tahoma" w:cs="Tahoma"/>
                <w:sz w:val="16"/>
                <w:szCs w:val="16"/>
              </w:rPr>
              <w:t>1.729.790.540.000,00</w:t>
            </w:r>
          </w:p>
        </w:tc>
        <w:tc>
          <w:tcPr>
            <w:tcW w:w="1980" w:type="dxa"/>
            <w:tcBorders>
              <w:top w:val="nil"/>
              <w:left w:val="nil"/>
              <w:bottom w:val="single" w:color="9BBB59" w:sz="8" w:space="0"/>
              <w:right w:val="single" w:color="9BBB59" w:sz="8" w:space="0"/>
            </w:tcBorders>
            <w:shd w:val="clear" w:color="auto" w:fill="auto"/>
            <w:noWrap/>
            <w:vAlign w:val="center"/>
          </w:tcPr>
          <w:p>
            <w:pPr>
              <w:spacing w:after="0" w:line="240" w:lineRule="auto"/>
              <w:jc w:val="right"/>
              <w:rPr>
                <w:rFonts w:ascii="Tahoma" w:hAnsi="Tahoma" w:cs="Tahoma"/>
                <w:color w:val="FF0000"/>
                <w:sz w:val="16"/>
                <w:szCs w:val="16"/>
              </w:rPr>
            </w:pPr>
            <w:r>
              <w:rPr>
                <w:rFonts w:ascii="Tahoma" w:hAnsi="Tahoma" w:cs="Tahoma"/>
                <w:sz w:val="16"/>
                <w:szCs w:val="16"/>
              </w:rPr>
              <w:t>1.809.</w:t>
            </w:r>
            <w:r>
              <w:rPr>
                <w:rFonts w:hint="default" w:ascii="Tahoma" w:hAnsi="Tahoma" w:cs="Tahoma"/>
                <w:sz w:val="16"/>
                <w:szCs w:val="16"/>
                <w:lang w:val="en-US"/>
              </w:rPr>
              <w:t>807.023.047,</w:t>
            </w:r>
            <w:r>
              <w:rPr>
                <w:rFonts w:ascii="Tahoma" w:hAnsi="Tahoma" w:cs="Tahoma"/>
                <w:sz w:val="16"/>
                <w:szCs w:val="16"/>
              </w:rPr>
              <w:t>00</w:t>
            </w:r>
          </w:p>
        </w:tc>
        <w:tc>
          <w:tcPr>
            <w:tcW w:w="748" w:type="dxa"/>
            <w:tcBorders>
              <w:top w:val="nil"/>
              <w:left w:val="nil"/>
              <w:bottom w:val="single" w:color="9BBB59" w:sz="8" w:space="0"/>
              <w:right w:val="single" w:color="9BBB59" w:sz="8" w:space="0"/>
            </w:tcBorders>
            <w:shd w:val="clear" w:color="auto" w:fill="auto"/>
            <w:vAlign w:val="center"/>
          </w:tcPr>
          <w:p>
            <w:pPr>
              <w:spacing w:after="0" w:line="240" w:lineRule="auto"/>
              <w:jc w:val="right"/>
              <w:rPr>
                <w:rFonts w:hint="default" w:ascii="Tahoma" w:hAnsi="Tahoma" w:cs="Tahoma"/>
                <w:color w:val="FF0000"/>
                <w:sz w:val="16"/>
                <w:szCs w:val="16"/>
                <w:lang w:val="en-US"/>
              </w:rPr>
            </w:pPr>
            <w:r>
              <w:rPr>
                <w:rFonts w:hint="default" w:ascii="Tahoma" w:hAnsi="Tahoma" w:cs="Tahoma"/>
                <w:sz w:val="16"/>
                <w:szCs w:val="16"/>
                <w:lang w:val="en-US"/>
              </w:rPr>
              <w:t>104,63</w:t>
            </w:r>
          </w:p>
        </w:tc>
        <w:tc>
          <w:tcPr>
            <w:tcW w:w="1142" w:type="dxa"/>
            <w:tcBorders>
              <w:top w:val="nil"/>
              <w:left w:val="nil"/>
              <w:bottom w:val="single" w:color="9BBB59" w:sz="8" w:space="0"/>
              <w:right w:val="single" w:color="9BBB59" w:sz="8" w:space="0"/>
            </w:tcBorders>
            <w:shd w:val="clear" w:color="auto" w:fill="auto"/>
            <w:noWrap/>
            <w:vAlign w:val="center"/>
          </w:tcPr>
          <w:p>
            <w:pPr>
              <w:spacing w:after="0" w:line="240" w:lineRule="auto"/>
              <w:jc w:val="right"/>
              <w:rPr>
                <w:rFonts w:hint="default" w:ascii="Tahoma" w:hAnsi="Tahoma" w:cs="Tahoma"/>
                <w:color w:val="FF0000"/>
                <w:sz w:val="16"/>
                <w:szCs w:val="16"/>
                <w:lang w:val="en-US"/>
              </w:rPr>
            </w:pPr>
            <w:r>
              <w:rPr>
                <w:rFonts w:hint="default" w:ascii="Tahoma" w:hAnsi="Tahoma" w:cs="Tahoma"/>
                <w:sz w:val="16"/>
                <w:szCs w:val="16"/>
                <w:lang w:val="en-US"/>
              </w:rPr>
              <w:t>80,41</w:t>
            </w:r>
          </w:p>
        </w:tc>
      </w:tr>
      <w:tr>
        <w:tblPrEx>
          <w:tblCellMar>
            <w:top w:w="0" w:type="dxa"/>
            <w:left w:w="108" w:type="dxa"/>
            <w:bottom w:w="0" w:type="dxa"/>
            <w:right w:w="108" w:type="dxa"/>
          </w:tblCellMar>
        </w:tblPrEx>
        <w:trPr>
          <w:trHeight w:val="315" w:hRule="atLeast"/>
        </w:trPr>
        <w:tc>
          <w:tcPr>
            <w:tcW w:w="1700" w:type="dxa"/>
            <w:tcBorders>
              <w:top w:val="nil"/>
              <w:left w:val="single" w:color="9BBB59" w:sz="8" w:space="0"/>
              <w:bottom w:val="single" w:color="9BBB59" w:sz="8" w:space="0"/>
              <w:right w:val="single" w:color="9BBB59" w:sz="8" w:space="0"/>
            </w:tcBorders>
            <w:shd w:val="clear" w:color="000000" w:fill="E6EED5"/>
            <w:noWrap/>
            <w:vAlign w:val="center"/>
          </w:tcPr>
          <w:p>
            <w:pPr>
              <w:spacing w:after="0" w:line="240" w:lineRule="auto"/>
              <w:rPr>
                <w:rFonts w:ascii="Tahoma" w:hAnsi="Tahoma" w:cs="Tahoma"/>
                <w:b/>
                <w:bCs/>
                <w:color w:val="000000"/>
                <w:sz w:val="16"/>
                <w:szCs w:val="16"/>
              </w:rPr>
            </w:pPr>
            <w:r>
              <w:rPr>
                <w:rFonts w:ascii="Tahoma" w:hAnsi="Tahoma" w:cs="Tahoma"/>
                <w:b/>
                <w:bCs/>
                <w:color w:val="000000"/>
                <w:sz w:val="16"/>
                <w:szCs w:val="16"/>
              </w:rPr>
              <w:t>Retribusi Daerah</w:t>
            </w:r>
          </w:p>
        </w:tc>
        <w:tc>
          <w:tcPr>
            <w:tcW w:w="1980" w:type="dxa"/>
            <w:tcBorders>
              <w:top w:val="nil"/>
              <w:left w:val="nil"/>
              <w:bottom w:val="single" w:color="9BBB59" w:sz="8" w:space="0"/>
              <w:right w:val="single" w:color="9BBB59" w:sz="8" w:space="0"/>
            </w:tcBorders>
            <w:shd w:val="clear" w:color="000000" w:fill="E6EED5"/>
            <w:noWrap/>
            <w:vAlign w:val="center"/>
          </w:tcPr>
          <w:p>
            <w:pPr>
              <w:spacing w:after="0" w:line="240" w:lineRule="auto"/>
              <w:jc w:val="right"/>
              <w:rPr>
                <w:rFonts w:ascii="Tahoma" w:hAnsi="Tahoma" w:cs="Tahoma"/>
                <w:color w:val="FF0000"/>
                <w:sz w:val="16"/>
                <w:szCs w:val="16"/>
              </w:rPr>
            </w:pPr>
            <w:r>
              <w:rPr>
                <w:rFonts w:ascii="Tahoma" w:hAnsi="Tahoma" w:cs="Tahoma"/>
                <w:sz w:val="16"/>
                <w:szCs w:val="16"/>
              </w:rPr>
              <w:t>11.377.502.768,00</w:t>
            </w:r>
          </w:p>
        </w:tc>
        <w:tc>
          <w:tcPr>
            <w:tcW w:w="1980" w:type="dxa"/>
            <w:tcBorders>
              <w:top w:val="nil"/>
              <w:left w:val="nil"/>
              <w:bottom w:val="single" w:color="9BBB59" w:sz="8" w:space="0"/>
              <w:right w:val="single" w:color="9BBB59" w:sz="8" w:space="0"/>
            </w:tcBorders>
            <w:shd w:val="clear" w:color="000000" w:fill="E6EED5"/>
            <w:noWrap/>
            <w:vAlign w:val="center"/>
          </w:tcPr>
          <w:p>
            <w:pPr>
              <w:spacing w:after="0" w:line="240" w:lineRule="auto"/>
              <w:jc w:val="right"/>
              <w:rPr>
                <w:rFonts w:ascii="Tahoma" w:hAnsi="Tahoma" w:cs="Tahoma"/>
                <w:color w:val="FF0000"/>
                <w:sz w:val="16"/>
                <w:szCs w:val="16"/>
              </w:rPr>
            </w:pPr>
            <w:r>
              <w:rPr>
                <w:rFonts w:ascii="Tahoma" w:hAnsi="Tahoma" w:cs="Tahoma"/>
                <w:sz w:val="16"/>
                <w:szCs w:val="16"/>
              </w:rPr>
              <w:t>8.533.127.076,00</w:t>
            </w:r>
          </w:p>
        </w:tc>
        <w:tc>
          <w:tcPr>
            <w:tcW w:w="1980" w:type="dxa"/>
            <w:tcBorders>
              <w:top w:val="nil"/>
              <w:left w:val="nil"/>
              <w:bottom w:val="single" w:color="9BBB59" w:sz="8" w:space="0"/>
              <w:right w:val="single" w:color="9BBB59" w:sz="8" w:space="0"/>
            </w:tcBorders>
            <w:shd w:val="clear" w:color="000000" w:fill="E6EED5"/>
            <w:noWrap/>
            <w:vAlign w:val="center"/>
          </w:tcPr>
          <w:p>
            <w:pPr>
              <w:spacing w:after="0" w:line="240" w:lineRule="auto"/>
              <w:jc w:val="right"/>
              <w:rPr>
                <w:rFonts w:ascii="Tahoma" w:hAnsi="Tahoma" w:cs="Tahoma"/>
                <w:color w:val="FF0000"/>
                <w:sz w:val="16"/>
                <w:szCs w:val="16"/>
              </w:rPr>
            </w:pPr>
            <w:r>
              <w:rPr>
                <w:rFonts w:ascii="Tahoma" w:hAnsi="Tahoma" w:cs="Tahoma"/>
                <w:sz w:val="16"/>
                <w:szCs w:val="16"/>
              </w:rPr>
              <w:t>7.926.595.873,00</w:t>
            </w:r>
          </w:p>
        </w:tc>
        <w:tc>
          <w:tcPr>
            <w:tcW w:w="748" w:type="dxa"/>
            <w:tcBorders>
              <w:top w:val="nil"/>
              <w:left w:val="nil"/>
              <w:bottom w:val="single" w:color="9BBB59" w:sz="8" w:space="0"/>
              <w:right w:val="single" w:color="9BBB59" w:sz="8" w:space="0"/>
            </w:tcBorders>
            <w:shd w:val="clear" w:color="000000" w:fill="E6EED5"/>
            <w:vAlign w:val="center"/>
          </w:tcPr>
          <w:p>
            <w:pPr>
              <w:spacing w:after="0" w:line="240" w:lineRule="auto"/>
              <w:jc w:val="right"/>
              <w:rPr>
                <w:rFonts w:ascii="Tahoma" w:hAnsi="Tahoma" w:cs="Tahoma"/>
                <w:color w:val="FF0000"/>
                <w:sz w:val="16"/>
                <w:szCs w:val="16"/>
              </w:rPr>
            </w:pPr>
            <w:r>
              <w:rPr>
                <w:rFonts w:ascii="Tahoma" w:hAnsi="Tahoma" w:cs="Tahoma"/>
                <w:sz w:val="16"/>
                <w:szCs w:val="16"/>
              </w:rPr>
              <w:t>92,89</w:t>
            </w:r>
          </w:p>
        </w:tc>
        <w:tc>
          <w:tcPr>
            <w:tcW w:w="1142" w:type="dxa"/>
            <w:tcBorders>
              <w:top w:val="nil"/>
              <w:left w:val="nil"/>
              <w:bottom w:val="single" w:color="9BBB59" w:sz="8" w:space="0"/>
              <w:right w:val="single" w:color="9BBB59" w:sz="8" w:space="0"/>
            </w:tcBorders>
            <w:shd w:val="clear" w:color="000000" w:fill="EBF1DE"/>
            <w:noWrap/>
            <w:vAlign w:val="center"/>
          </w:tcPr>
          <w:p>
            <w:pPr>
              <w:spacing w:after="0" w:line="240" w:lineRule="auto"/>
              <w:jc w:val="right"/>
              <w:rPr>
                <w:rFonts w:ascii="Tahoma" w:hAnsi="Tahoma" w:cs="Tahoma"/>
                <w:color w:val="FF0000"/>
                <w:sz w:val="16"/>
                <w:szCs w:val="16"/>
              </w:rPr>
            </w:pPr>
            <w:r>
              <w:rPr>
                <w:rFonts w:ascii="Tahoma" w:hAnsi="Tahoma" w:cs="Tahoma"/>
                <w:sz w:val="16"/>
                <w:szCs w:val="16"/>
              </w:rPr>
              <w:t>0,35</w:t>
            </w:r>
          </w:p>
        </w:tc>
      </w:tr>
      <w:tr>
        <w:tblPrEx>
          <w:tblCellMar>
            <w:top w:w="0" w:type="dxa"/>
            <w:left w:w="108" w:type="dxa"/>
            <w:bottom w:w="0" w:type="dxa"/>
            <w:right w:w="108" w:type="dxa"/>
          </w:tblCellMar>
        </w:tblPrEx>
        <w:trPr>
          <w:trHeight w:val="315" w:hRule="atLeast"/>
        </w:trPr>
        <w:tc>
          <w:tcPr>
            <w:tcW w:w="1700" w:type="dxa"/>
            <w:tcBorders>
              <w:top w:val="nil"/>
              <w:left w:val="single" w:color="9BBB59" w:sz="8" w:space="0"/>
              <w:bottom w:val="single" w:color="9BBB59" w:sz="8" w:space="0"/>
              <w:right w:val="single" w:color="9BBB59" w:sz="8" w:space="0"/>
            </w:tcBorders>
            <w:shd w:val="clear" w:color="auto" w:fill="auto"/>
            <w:noWrap/>
            <w:vAlign w:val="center"/>
          </w:tcPr>
          <w:p>
            <w:pPr>
              <w:spacing w:after="0" w:line="240" w:lineRule="auto"/>
              <w:rPr>
                <w:rFonts w:ascii="Tahoma" w:hAnsi="Tahoma" w:cs="Tahoma"/>
                <w:b/>
                <w:bCs/>
                <w:color w:val="000000"/>
                <w:sz w:val="16"/>
                <w:szCs w:val="16"/>
              </w:rPr>
            </w:pPr>
            <w:r>
              <w:rPr>
                <w:rFonts w:ascii="Tahoma" w:hAnsi="Tahoma" w:cs="Tahoma"/>
                <w:b/>
                <w:bCs/>
                <w:color w:val="000000"/>
                <w:sz w:val="16"/>
                <w:szCs w:val="16"/>
              </w:rPr>
              <w:t>Hasil Pengelolaan Kekayaan Daerah Yang Dipisahkan</w:t>
            </w:r>
          </w:p>
        </w:tc>
        <w:tc>
          <w:tcPr>
            <w:tcW w:w="1980" w:type="dxa"/>
            <w:tcBorders>
              <w:top w:val="nil"/>
              <w:left w:val="nil"/>
              <w:bottom w:val="single" w:color="9BBB59" w:sz="8" w:space="0"/>
              <w:right w:val="single" w:color="9BBB59" w:sz="8" w:space="0"/>
            </w:tcBorders>
            <w:shd w:val="clear" w:color="auto" w:fill="auto"/>
            <w:noWrap/>
            <w:vAlign w:val="center"/>
          </w:tcPr>
          <w:p>
            <w:pPr>
              <w:spacing w:after="0" w:line="240" w:lineRule="auto"/>
              <w:jc w:val="right"/>
              <w:rPr>
                <w:rFonts w:ascii="Tahoma" w:hAnsi="Tahoma" w:cs="Tahoma"/>
                <w:color w:val="FF0000"/>
                <w:sz w:val="16"/>
                <w:szCs w:val="16"/>
              </w:rPr>
            </w:pPr>
            <w:r>
              <w:rPr>
                <w:rFonts w:ascii="Tahoma" w:hAnsi="Tahoma" w:cs="Tahoma"/>
                <w:sz w:val="16"/>
                <w:szCs w:val="16"/>
              </w:rPr>
              <w:t>110.239.356.256,00</w:t>
            </w:r>
          </w:p>
        </w:tc>
        <w:tc>
          <w:tcPr>
            <w:tcW w:w="1980" w:type="dxa"/>
            <w:tcBorders>
              <w:top w:val="nil"/>
              <w:left w:val="nil"/>
              <w:bottom w:val="single" w:color="9BBB59" w:sz="8" w:space="0"/>
              <w:right w:val="single" w:color="9BBB59" w:sz="8" w:space="0"/>
            </w:tcBorders>
            <w:shd w:val="clear" w:color="auto" w:fill="auto"/>
            <w:noWrap/>
            <w:vAlign w:val="center"/>
          </w:tcPr>
          <w:p>
            <w:pPr>
              <w:spacing w:after="0" w:line="240" w:lineRule="auto"/>
              <w:jc w:val="right"/>
              <w:rPr>
                <w:rFonts w:ascii="Tahoma" w:hAnsi="Tahoma" w:cs="Tahoma"/>
                <w:color w:val="FF0000"/>
                <w:sz w:val="16"/>
                <w:szCs w:val="16"/>
              </w:rPr>
            </w:pPr>
            <w:r>
              <w:rPr>
                <w:rFonts w:ascii="Tahoma" w:hAnsi="Tahoma" w:cs="Tahoma"/>
                <w:sz w:val="16"/>
                <w:szCs w:val="16"/>
              </w:rPr>
              <w:t>103.900.375.092,00</w:t>
            </w:r>
          </w:p>
        </w:tc>
        <w:tc>
          <w:tcPr>
            <w:tcW w:w="1980" w:type="dxa"/>
            <w:tcBorders>
              <w:top w:val="nil"/>
              <w:left w:val="nil"/>
              <w:bottom w:val="single" w:color="9BBB59" w:sz="8" w:space="0"/>
              <w:right w:val="single" w:color="9BBB59" w:sz="8" w:space="0"/>
            </w:tcBorders>
            <w:shd w:val="clear" w:color="auto" w:fill="auto"/>
            <w:noWrap/>
            <w:vAlign w:val="center"/>
          </w:tcPr>
          <w:p>
            <w:pPr>
              <w:spacing w:after="0" w:line="240" w:lineRule="auto"/>
              <w:jc w:val="right"/>
              <w:rPr>
                <w:rFonts w:ascii="Tahoma" w:hAnsi="Tahoma" w:cs="Tahoma"/>
                <w:color w:val="FF0000"/>
                <w:sz w:val="16"/>
                <w:szCs w:val="16"/>
              </w:rPr>
            </w:pPr>
            <w:r>
              <w:rPr>
                <w:rFonts w:ascii="Tahoma" w:hAnsi="Tahoma" w:cs="Tahoma"/>
                <w:sz w:val="16"/>
                <w:szCs w:val="16"/>
              </w:rPr>
              <w:t>94.747.256.568,00</w:t>
            </w:r>
          </w:p>
        </w:tc>
        <w:tc>
          <w:tcPr>
            <w:tcW w:w="748" w:type="dxa"/>
            <w:tcBorders>
              <w:top w:val="nil"/>
              <w:left w:val="nil"/>
              <w:bottom w:val="single" w:color="9BBB59" w:sz="8" w:space="0"/>
              <w:right w:val="single" w:color="9BBB59" w:sz="8" w:space="0"/>
            </w:tcBorders>
            <w:shd w:val="clear" w:color="auto" w:fill="auto"/>
            <w:vAlign w:val="center"/>
          </w:tcPr>
          <w:p>
            <w:pPr>
              <w:spacing w:after="0" w:line="240" w:lineRule="auto"/>
              <w:jc w:val="right"/>
              <w:rPr>
                <w:rFonts w:ascii="Tahoma" w:hAnsi="Tahoma" w:cs="Tahoma"/>
                <w:color w:val="FF0000"/>
                <w:sz w:val="16"/>
                <w:szCs w:val="16"/>
              </w:rPr>
            </w:pPr>
            <w:r>
              <w:rPr>
                <w:rFonts w:ascii="Tahoma" w:hAnsi="Tahoma" w:cs="Tahoma"/>
                <w:sz w:val="16"/>
                <w:szCs w:val="16"/>
              </w:rPr>
              <w:t>91,19</w:t>
            </w:r>
          </w:p>
        </w:tc>
        <w:tc>
          <w:tcPr>
            <w:tcW w:w="1142" w:type="dxa"/>
            <w:tcBorders>
              <w:top w:val="nil"/>
              <w:left w:val="nil"/>
              <w:bottom w:val="single" w:color="9BBB59" w:sz="8" w:space="0"/>
              <w:right w:val="single" w:color="9BBB59" w:sz="8" w:space="0"/>
            </w:tcBorders>
            <w:shd w:val="clear" w:color="auto" w:fill="auto"/>
            <w:noWrap/>
            <w:vAlign w:val="center"/>
          </w:tcPr>
          <w:p>
            <w:pPr>
              <w:spacing w:after="0" w:line="240" w:lineRule="auto"/>
              <w:jc w:val="right"/>
              <w:rPr>
                <w:rFonts w:hint="default" w:ascii="Tahoma" w:hAnsi="Tahoma" w:cs="Tahoma"/>
                <w:color w:val="FF0000"/>
                <w:sz w:val="16"/>
                <w:szCs w:val="16"/>
                <w:lang w:val="en-US"/>
              </w:rPr>
            </w:pPr>
            <w:r>
              <w:rPr>
                <w:rFonts w:ascii="Tahoma" w:hAnsi="Tahoma" w:cs="Tahoma"/>
                <w:sz w:val="16"/>
                <w:szCs w:val="16"/>
              </w:rPr>
              <w:t>4,</w:t>
            </w:r>
            <w:r>
              <w:rPr>
                <w:rFonts w:hint="default" w:ascii="Tahoma" w:hAnsi="Tahoma" w:cs="Tahoma"/>
                <w:sz w:val="16"/>
                <w:szCs w:val="16"/>
                <w:lang w:val="en-US"/>
              </w:rPr>
              <w:t>21</w:t>
            </w:r>
          </w:p>
        </w:tc>
      </w:tr>
      <w:tr>
        <w:tblPrEx>
          <w:tblCellMar>
            <w:top w:w="0" w:type="dxa"/>
            <w:left w:w="108" w:type="dxa"/>
            <w:bottom w:w="0" w:type="dxa"/>
            <w:right w:w="108" w:type="dxa"/>
          </w:tblCellMar>
        </w:tblPrEx>
        <w:trPr>
          <w:trHeight w:val="315" w:hRule="atLeast"/>
        </w:trPr>
        <w:tc>
          <w:tcPr>
            <w:tcW w:w="1700" w:type="dxa"/>
            <w:tcBorders>
              <w:top w:val="nil"/>
              <w:left w:val="single" w:color="9BBB59" w:sz="8" w:space="0"/>
              <w:bottom w:val="single" w:color="9BBB59" w:sz="8" w:space="0"/>
              <w:right w:val="single" w:color="9BBB59" w:sz="8" w:space="0"/>
            </w:tcBorders>
            <w:shd w:val="clear" w:color="000000" w:fill="E6EED5"/>
            <w:noWrap/>
            <w:vAlign w:val="center"/>
          </w:tcPr>
          <w:p>
            <w:pPr>
              <w:spacing w:after="0" w:line="240" w:lineRule="auto"/>
              <w:rPr>
                <w:rFonts w:ascii="Tahoma" w:hAnsi="Tahoma" w:cs="Tahoma"/>
                <w:b/>
                <w:bCs/>
                <w:color w:val="000000"/>
                <w:sz w:val="16"/>
                <w:szCs w:val="16"/>
              </w:rPr>
            </w:pPr>
            <w:r>
              <w:rPr>
                <w:rFonts w:ascii="Tahoma" w:hAnsi="Tahoma" w:cs="Tahoma"/>
                <w:b/>
                <w:bCs/>
                <w:color w:val="000000"/>
                <w:sz w:val="16"/>
                <w:szCs w:val="16"/>
              </w:rPr>
              <w:t>Lain-lain PAD Yang Sah</w:t>
            </w:r>
          </w:p>
        </w:tc>
        <w:tc>
          <w:tcPr>
            <w:tcW w:w="1980" w:type="dxa"/>
            <w:tcBorders>
              <w:top w:val="nil"/>
              <w:left w:val="nil"/>
              <w:bottom w:val="single" w:color="9BBB59" w:sz="8" w:space="0"/>
              <w:right w:val="single" w:color="9BBB59" w:sz="8" w:space="0"/>
            </w:tcBorders>
            <w:shd w:val="clear" w:color="000000" w:fill="E6EED5"/>
            <w:noWrap/>
            <w:vAlign w:val="center"/>
          </w:tcPr>
          <w:p>
            <w:pPr>
              <w:spacing w:after="0" w:line="240" w:lineRule="auto"/>
              <w:jc w:val="right"/>
              <w:rPr>
                <w:rFonts w:ascii="Tahoma" w:hAnsi="Tahoma" w:cs="Tahoma"/>
                <w:color w:val="FF0000"/>
                <w:sz w:val="16"/>
                <w:szCs w:val="16"/>
              </w:rPr>
            </w:pPr>
            <w:r>
              <w:rPr>
                <w:rFonts w:ascii="Tahoma" w:hAnsi="Tahoma" w:cs="Tahoma"/>
                <w:sz w:val="16"/>
                <w:szCs w:val="16"/>
              </w:rPr>
              <w:t>450.430.938.843,00</w:t>
            </w:r>
          </w:p>
        </w:tc>
        <w:tc>
          <w:tcPr>
            <w:tcW w:w="1980" w:type="dxa"/>
            <w:tcBorders>
              <w:top w:val="nil"/>
              <w:left w:val="nil"/>
              <w:bottom w:val="single" w:color="9BBB59" w:sz="8" w:space="0"/>
              <w:right w:val="single" w:color="9BBB59" w:sz="8" w:space="0"/>
            </w:tcBorders>
            <w:shd w:val="clear" w:color="000000" w:fill="E6EED5"/>
            <w:noWrap/>
            <w:vAlign w:val="center"/>
          </w:tcPr>
          <w:p>
            <w:pPr>
              <w:spacing w:after="0" w:line="240" w:lineRule="auto"/>
              <w:jc w:val="right"/>
              <w:rPr>
                <w:rFonts w:ascii="Tahoma" w:hAnsi="Tahoma" w:cs="Tahoma"/>
                <w:color w:val="FF0000"/>
                <w:sz w:val="16"/>
                <w:szCs w:val="16"/>
              </w:rPr>
            </w:pPr>
            <w:r>
              <w:rPr>
                <w:rFonts w:ascii="Tahoma" w:hAnsi="Tahoma" w:cs="Tahoma"/>
                <w:sz w:val="16"/>
                <w:szCs w:val="16"/>
              </w:rPr>
              <w:t>332.391.102.929,00</w:t>
            </w:r>
          </w:p>
        </w:tc>
        <w:tc>
          <w:tcPr>
            <w:tcW w:w="1980" w:type="dxa"/>
            <w:tcBorders>
              <w:top w:val="nil"/>
              <w:left w:val="nil"/>
              <w:bottom w:val="single" w:color="9BBB59" w:sz="8" w:space="0"/>
              <w:right w:val="single" w:color="9BBB59" w:sz="8" w:space="0"/>
            </w:tcBorders>
            <w:shd w:val="clear" w:color="000000" w:fill="E6EED5"/>
            <w:noWrap/>
            <w:vAlign w:val="center"/>
          </w:tcPr>
          <w:p>
            <w:pPr>
              <w:spacing w:after="0" w:line="240" w:lineRule="auto"/>
              <w:jc w:val="right"/>
              <w:rPr>
                <w:rFonts w:hint="default" w:ascii="Tahoma" w:hAnsi="Tahoma" w:cs="Tahoma"/>
                <w:color w:val="FF0000"/>
                <w:sz w:val="16"/>
                <w:szCs w:val="16"/>
                <w:lang w:val="en-US"/>
              </w:rPr>
            </w:pPr>
            <w:r>
              <w:rPr>
                <w:rFonts w:hint="default" w:ascii="Tahoma" w:hAnsi="Tahoma" w:cs="Tahoma"/>
                <w:sz w:val="16"/>
                <w:szCs w:val="16"/>
                <w:lang w:val="en-US"/>
              </w:rPr>
              <w:t>338.854.348.255,41</w:t>
            </w:r>
          </w:p>
        </w:tc>
        <w:tc>
          <w:tcPr>
            <w:tcW w:w="748" w:type="dxa"/>
            <w:tcBorders>
              <w:top w:val="nil"/>
              <w:left w:val="nil"/>
              <w:bottom w:val="single" w:color="9BBB59" w:sz="8" w:space="0"/>
              <w:right w:val="single" w:color="9BBB59" w:sz="8" w:space="0"/>
            </w:tcBorders>
            <w:shd w:val="clear" w:color="000000" w:fill="E6EED5"/>
            <w:vAlign w:val="center"/>
          </w:tcPr>
          <w:p>
            <w:pPr>
              <w:spacing w:after="0" w:line="240" w:lineRule="auto"/>
              <w:jc w:val="right"/>
              <w:rPr>
                <w:rFonts w:hint="default" w:ascii="Tahoma" w:hAnsi="Tahoma" w:cs="Tahoma"/>
                <w:color w:val="FF0000"/>
                <w:sz w:val="16"/>
                <w:szCs w:val="16"/>
                <w:lang w:val="en-US"/>
              </w:rPr>
            </w:pPr>
            <w:r>
              <w:rPr>
                <w:rFonts w:hint="default" w:ascii="Tahoma" w:hAnsi="Tahoma" w:cs="Tahoma"/>
                <w:sz w:val="16"/>
                <w:szCs w:val="16"/>
                <w:lang w:val="en-US"/>
              </w:rPr>
              <w:t>101,79</w:t>
            </w:r>
          </w:p>
        </w:tc>
        <w:tc>
          <w:tcPr>
            <w:tcW w:w="1142" w:type="dxa"/>
            <w:tcBorders>
              <w:top w:val="nil"/>
              <w:left w:val="nil"/>
              <w:bottom w:val="single" w:color="9BBB59" w:sz="8" w:space="0"/>
              <w:right w:val="single" w:color="9BBB59" w:sz="8" w:space="0"/>
            </w:tcBorders>
            <w:shd w:val="clear" w:color="000000" w:fill="EBF1DE"/>
            <w:noWrap/>
            <w:vAlign w:val="center"/>
          </w:tcPr>
          <w:p>
            <w:pPr>
              <w:spacing w:after="0" w:line="240" w:lineRule="auto"/>
              <w:jc w:val="right"/>
              <w:rPr>
                <w:rFonts w:hint="default" w:ascii="Tahoma" w:hAnsi="Tahoma" w:cs="Tahoma"/>
                <w:color w:val="FF0000"/>
                <w:sz w:val="16"/>
                <w:szCs w:val="16"/>
                <w:lang w:val="en-US"/>
              </w:rPr>
            </w:pPr>
            <w:r>
              <w:rPr>
                <w:rFonts w:ascii="Tahoma" w:hAnsi="Tahoma" w:cs="Tahoma"/>
                <w:sz w:val="16"/>
                <w:szCs w:val="16"/>
              </w:rPr>
              <w:t>15,</w:t>
            </w:r>
            <w:r>
              <w:rPr>
                <w:rFonts w:hint="default" w:ascii="Tahoma" w:hAnsi="Tahoma" w:cs="Tahoma"/>
                <w:sz w:val="16"/>
                <w:szCs w:val="16"/>
                <w:lang w:val="en-US"/>
              </w:rPr>
              <w:t>03</w:t>
            </w:r>
          </w:p>
        </w:tc>
      </w:tr>
      <w:tr>
        <w:tblPrEx>
          <w:tblCellMar>
            <w:top w:w="0" w:type="dxa"/>
            <w:left w:w="108" w:type="dxa"/>
            <w:bottom w:w="0" w:type="dxa"/>
            <w:right w:w="108" w:type="dxa"/>
          </w:tblCellMar>
        </w:tblPrEx>
        <w:trPr>
          <w:trHeight w:val="315" w:hRule="atLeast"/>
        </w:trPr>
        <w:tc>
          <w:tcPr>
            <w:tcW w:w="1700" w:type="dxa"/>
            <w:tcBorders>
              <w:top w:val="nil"/>
              <w:left w:val="single" w:color="9BBB59" w:sz="8" w:space="0"/>
              <w:bottom w:val="single" w:color="9BBB59" w:sz="8" w:space="0"/>
              <w:right w:val="single" w:color="9BBB59" w:sz="8" w:space="0"/>
            </w:tcBorders>
            <w:shd w:val="clear" w:color="auto" w:fill="auto"/>
            <w:noWrap/>
            <w:vAlign w:val="center"/>
          </w:tcPr>
          <w:p>
            <w:pPr>
              <w:spacing w:after="0" w:line="240" w:lineRule="auto"/>
              <w:rPr>
                <w:rFonts w:ascii="Tahoma" w:hAnsi="Tahoma" w:cs="Tahoma"/>
                <w:b/>
                <w:bCs/>
                <w:color w:val="000000"/>
                <w:sz w:val="16"/>
                <w:szCs w:val="16"/>
              </w:rPr>
            </w:pPr>
            <w:r>
              <w:rPr>
                <w:rFonts w:ascii="Tahoma" w:hAnsi="Tahoma" w:cs="Tahoma"/>
                <w:b/>
                <w:bCs/>
                <w:color w:val="000000"/>
                <w:sz w:val="16"/>
                <w:szCs w:val="16"/>
              </w:rPr>
              <w:t>Jumlah PAD</w:t>
            </w:r>
          </w:p>
        </w:tc>
        <w:tc>
          <w:tcPr>
            <w:tcW w:w="1980" w:type="dxa"/>
            <w:tcBorders>
              <w:top w:val="nil"/>
              <w:left w:val="nil"/>
              <w:bottom w:val="single" w:color="9BBB59" w:sz="8" w:space="0"/>
              <w:right w:val="single" w:color="9BBB59" w:sz="8" w:space="0"/>
            </w:tcBorders>
            <w:shd w:val="clear" w:color="auto" w:fill="auto"/>
            <w:noWrap/>
            <w:vAlign w:val="center"/>
          </w:tcPr>
          <w:p>
            <w:pPr>
              <w:spacing w:after="0" w:line="240" w:lineRule="auto"/>
              <w:jc w:val="right"/>
              <w:rPr>
                <w:rFonts w:ascii="Tahoma" w:hAnsi="Tahoma" w:cs="Tahoma"/>
                <w:b/>
                <w:bCs/>
                <w:color w:val="FF0000"/>
                <w:sz w:val="16"/>
                <w:szCs w:val="16"/>
              </w:rPr>
            </w:pPr>
            <w:r>
              <w:rPr>
                <w:rFonts w:ascii="Tahoma" w:hAnsi="Tahoma" w:cs="Tahoma"/>
                <w:sz w:val="16"/>
                <w:szCs w:val="16"/>
              </w:rPr>
              <w:t>2.528.472.797.867,00</w:t>
            </w:r>
          </w:p>
        </w:tc>
        <w:tc>
          <w:tcPr>
            <w:tcW w:w="1980" w:type="dxa"/>
            <w:tcBorders>
              <w:top w:val="nil"/>
              <w:left w:val="nil"/>
              <w:bottom w:val="single" w:color="9BBB59" w:sz="8" w:space="0"/>
              <w:right w:val="single" w:color="9BBB59" w:sz="8" w:space="0"/>
            </w:tcBorders>
            <w:shd w:val="clear" w:color="auto" w:fill="auto"/>
            <w:noWrap/>
            <w:vAlign w:val="center"/>
          </w:tcPr>
          <w:p>
            <w:pPr>
              <w:spacing w:after="0" w:line="240" w:lineRule="auto"/>
              <w:jc w:val="right"/>
              <w:rPr>
                <w:rFonts w:ascii="Tahoma" w:hAnsi="Tahoma" w:cs="Tahoma"/>
                <w:b/>
                <w:bCs/>
                <w:color w:val="FF0000"/>
                <w:sz w:val="16"/>
                <w:szCs w:val="16"/>
              </w:rPr>
            </w:pPr>
            <w:r>
              <w:rPr>
                <w:rFonts w:ascii="Tahoma" w:hAnsi="Tahoma" w:cs="Tahoma"/>
                <w:sz w:val="16"/>
                <w:szCs w:val="16"/>
              </w:rPr>
              <w:t>2.174.615.145.097,00</w:t>
            </w:r>
          </w:p>
        </w:tc>
        <w:tc>
          <w:tcPr>
            <w:tcW w:w="1980" w:type="dxa"/>
            <w:tcBorders>
              <w:top w:val="nil"/>
              <w:left w:val="nil"/>
              <w:bottom w:val="single" w:color="9BBB59" w:sz="8" w:space="0"/>
              <w:right w:val="single" w:color="9BBB59" w:sz="8" w:space="0"/>
            </w:tcBorders>
            <w:shd w:val="clear" w:color="auto" w:fill="auto"/>
            <w:noWrap/>
            <w:vAlign w:val="center"/>
          </w:tcPr>
          <w:p>
            <w:pPr>
              <w:spacing w:after="0" w:line="240" w:lineRule="auto"/>
              <w:jc w:val="right"/>
              <w:rPr>
                <w:rFonts w:hint="default" w:ascii="Tahoma" w:hAnsi="Tahoma" w:cs="Tahoma"/>
                <w:sz w:val="16"/>
                <w:szCs w:val="16"/>
                <w:lang w:val="en-US"/>
              </w:rPr>
            </w:pPr>
            <w:r>
              <w:rPr>
                <w:rFonts w:hint="default" w:ascii="Tahoma" w:hAnsi="Tahoma" w:cs="Tahoma"/>
                <w:sz w:val="16"/>
                <w:szCs w:val="16"/>
                <w:lang w:val="en-US"/>
              </w:rPr>
              <w:t>2.251.335.223.743,41</w:t>
            </w:r>
          </w:p>
        </w:tc>
        <w:tc>
          <w:tcPr>
            <w:tcW w:w="748" w:type="dxa"/>
            <w:tcBorders>
              <w:top w:val="nil"/>
              <w:left w:val="nil"/>
              <w:bottom w:val="single" w:color="9BBB59" w:sz="8" w:space="0"/>
              <w:right w:val="single" w:color="9BBB59" w:sz="8" w:space="0"/>
            </w:tcBorders>
            <w:shd w:val="clear" w:color="auto" w:fill="auto"/>
            <w:vAlign w:val="center"/>
          </w:tcPr>
          <w:p>
            <w:pPr>
              <w:spacing w:after="0" w:line="240" w:lineRule="auto"/>
              <w:jc w:val="right"/>
              <w:rPr>
                <w:rFonts w:hint="default" w:ascii="Tahoma" w:hAnsi="Tahoma" w:cs="Tahoma"/>
                <w:b/>
                <w:bCs/>
                <w:color w:val="FF0000"/>
                <w:sz w:val="16"/>
                <w:szCs w:val="16"/>
                <w:lang w:val="en-US"/>
              </w:rPr>
            </w:pPr>
            <w:r>
              <w:rPr>
                <w:rFonts w:ascii="Tahoma" w:hAnsi="Tahoma" w:cs="Tahoma"/>
                <w:sz w:val="16"/>
                <w:szCs w:val="16"/>
              </w:rPr>
              <w:t>103,</w:t>
            </w:r>
            <w:r>
              <w:rPr>
                <w:rFonts w:hint="default" w:ascii="Tahoma" w:hAnsi="Tahoma" w:cs="Tahoma"/>
                <w:sz w:val="16"/>
                <w:szCs w:val="16"/>
                <w:lang w:val="en-US"/>
              </w:rPr>
              <w:t>50</w:t>
            </w:r>
          </w:p>
        </w:tc>
        <w:tc>
          <w:tcPr>
            <w:tcW w:w="1142" w:type="dxa"/>
            <w:tcBorders>
              <w:top w:val="nil"/>
              <w:left w:val="nil"/>
              <w:bottom w:val="single" w:color="9BBB59" w:sz="8" w:space="0"/>
              <w:right w:val="single" w:color="9BBB59" w:sz="8" w:space="0"/>
            </w:tcBorders>
            <w:shd w:val="clear" w:color="auto" w:fill="auto"/>
            <w:noWrap/>
            <w:vAlign w:val="center"/>
          </w:tcPr>
          <w:p>
            <w:pPr>
              <w:spacing w:after="0" w:line="240" w:lineRule="auto"/>
              <w:jc w:val="right"/>
              <w:rPr>
                <w:rFonts w:ascii="Tahoma" w:hAnsi="Tahoma" w:cs="Tahoma"/>
                <w:b/>
                <w:bCs/>
                <w:color w:val="FF0000"/>
                <w:sz w:val="16"/>
                <w:szCs w:val="16"/>
              </w:rPr>
            </w:pPr>
            <w:r>
              <w:rPr>
                <w:rFonts w:ascii="Tahoma" w:hAnsi="Tahoma" w:cs="Tahoma"/>
                <w:sz w:val="16"/>
                <w:szCs w:val="16"/>
              </w:rPr>
              <w:t>100,00</w:t>
            </w:r>
          </w:p>
        </w:tc>
      </w:tr>
    </w:tbl>
    <w:p>
      <w:pPr>
        <w:spacing w:before="120" w:after="0" w:line="240" w:lineRule="auto"/>
        <w:ind w:left="850" w:hanging="850"/>
        <w:jc w:val="both"/>
        <w:rPr>
          <w:rFonts w:ascii="Tahoma" w:hAnsi="Tahoma" w:cs="Tahoma"/>
          <w:i/>
          <w:lang w:val="id-ID"/>
        </w:rPr>
      </w:pPr>
      <w:r>
        <w:rPr>
          <w:rFonts w:ascii="Tahoma" w:hAnsi="Tahoma" w:cs="Tahoma"/>
          <w:i/>
          <w:lang w:val="id-ID"/>
        </w:rPr>
        <w:t>Sumber:</w:t>
      </w:r>
      <w:r>
        <w:rPr>
          <w:rFonts w:hint="default" w:ascii="Tahoma" w:hAnsi="Tahoma" w:cs="Tahoma"/>
          <w:i/>
          <w:lang w:val="en-US"/>
        </w:rPr>
        <w:t xml:space="preserve"> </w:t>
      </w:r>
      <w:r>
        <w:rPr>
          <w:rFonts w:ascii="Tahoma" w:hAnsi="Tahoma" w:cs="Tahoma"/>
          <w:i/>
          <w:lang w:val="id-ID"/>
        </w:rPr>
        <w:t>Laporan Keuangan Pemerintah Daerah Provinsi Sumatera Barat Tahun 20</w:t>
      </w:r>
      <w:r>
        <w:rPr>
          <w:rFonts w:ascii="Tahoma" w:hAnsi="Tahoma" w:cs="Tahoma"/>
          <w:i/>
        </w:rPr>
        <w:t>20</w:t>
      </w:r>
      <w:r>
        <w:rPr>
          <w:rFonts w:ascii="Tahoma" w:hAnsi="Tahoma" w:cs="Tahoma"/>
          <w:i/>
          <w:lang w:val="id-ID"/>
        </w:rPr>
        <w:t xml:space="preserve"> sebelum Audit BPK RI</w:t>
      </w:r>
    </w:p>
    <w:p>
      <w:pPr>
        <w:pStyle w:val="20"/>
        <w:numPr>
          <w:ilvl w:val="0"/>
          <w:numId w:val="0"/>
        </w:numPr>
        <w:spacing w:afterLines="50"/>
        <w:jc w:val="both"/>
        <w:rPr>
          <w:rFonts w:ascii="Tahoma" w:hAnsi="Tahoma" w:cs="Tahoma"/>
          <w:color w:val="000000"/>
          <w:sz w:val="22"/>
          <w:szCs w:val="22"/>
        </w:rPr>
      </w:pPr>
    </w:p>
    <w:p>
      <w:pPr>
        <w:pStyle w:val="20"/>
        <w:numPr>
          <w:ilvl w:val="0"/>
          <w:numId w:val="0"/>
        </w:numPr>
        <w:spacing w:afterLines="50"/>
        <w:ind w:left="1264"/>
        <w:rPr>
          <w:rFonts w:ascii="Tahoma" w:hAnsi="Tahoma" w:cs="Tahoma"/>
          <w:color w:val="000000"/>
          <w:sz w:val="22"/>
          <w:szCs w:val="22"/>
        </w:rPr>
      </w:pPr>
    </w:p>
    <w:p>
      <w:pPr>
        <w:pStyle w:val="20"/>
        <w:numPr>
          <w:ilvl w:val="0"/>
          <w:numId w:val="0"/>
        </w:numPr>
        <w:spacing w:afterLines="50"/>
        <w:ind w:left="1264"/>
        <w:rPr>
          <w:rFonts w:hint="default" w:ascii="Tahoma" w:hAnsi="Tahoma" w:cs="Tahoma"/>
          <w:color w:val="000000"/>
          <w:sz w:val="22"/>
          <w:szCs w:val="22"/>
          <w:lang w:val="en-US"/>
        </w:rPr>
      </w:pPr>
      <w:r>
        <w:rPr>
          <w:rFonts w:ascii="Tahoma" w:hAnsi="Tahoma" w:cs="Tahoma"/>
          <w:color w:val="000000"/>
          <w:sz w:val="22"/>
          <w:szCs w:val="22"/>
        </w:rPr>
        <w:t>Tabel 3.</w:t>
      </w:r>
      <w:r>
        <w:rPr>
          <w:rFonts w:hint="default" w:ascii="Tahoma" w:hAnsi="Tahoma" w:cs="Tahoma"/>
          <w:color w:val="000000"/>
          <w:sz w:val="22"/>
          <w:szCs w:val="22"/>
          <w:lang w:val="en-US"/>
        </w:rPr>
        <w:t>8</w:t>
      </w:r>
    </w:p>
    <w:p>
      <w:pPr>
        <w:pStyle w:val="20"/>
        <w:numPr>
          <w:ilvl w:val="0"/>
          <w:numId w:val="0"/>
        </w:numPr>
        <w:spacing w:line="480" w:lineRule="auto"/>
        <w:ind w:left="1264"/>
        <w:rPr>
          <w:rFonts w:ascii="Tahoma" w:hAnsi="Tahoma" w:cs="Tahoma"/>
          <w:b w:val="0"/>
          <w:bCs w:val="0"/>
          <w:sz w:val="22"/>
          <w:szCs w:val="22"/>
          <w:lang w:eastAsia="id-ID"/>
        </w:rPr>
      </w:pPr>
      <w:r>
        <w:rPr>
          <w:rFonts w:ascii="Tahoma" w:hAnsi="Tahoma" w:cs="Tahoma"/>
          <w:color w:val="000000"/>
          <w:sz w:val="22"/>
          <w:szCs w:val="22"/>
          <w:lang w:val="id-ID"/>
        </w:rPr>
        <w:t xml:space="preserve">Perbandingan Peningkatan PAD </w:t>
      </w:r>
      <w:r>
        <w:rPr>
          <w:rFonts w:ascii="Tahoma" w:hAnsi="Tahoma" w:cs="Tahoma"/>
          <w:color w:val="000000"/>
          <w:sz w:val="22"/>
          <w:szCs w:val="22"/>
        </w:rPr>
        <w:t>T</w:t>
      </w:r>
      <w:r>
        <w:rPr>
          <w:rFonts w:ascii="Tahoma" w:hAnsi="Tahoma" w:cs="Tahoma"/>
          <w:color w:val="000000"/>
          <w:sz w:val="22"/>
          <w:szCs w:val="22"/>
          <w:lang w:val="id-ID"/>
        </w:rPr>
        <w:t>ahun 201</w:t>
      </w:r>
      <w:r>
        <w:rPr>
          <w:rFonts w:ascii="Tahoma" w:hAnsi="Tahoma" w:cs="Tahoma"/>
          <w:color w:val="000000"/>
          <w:sz w:val="22"/>
          <w:szCs w:val="22"/>
        </w:rPr>
        <w:t>6</w:t>
      </w:r>
      <w:r>
        <w:rPr>
          <w:rFonts w:ascii="Tahoma" w:hAnsi="Tahoma" w:cs="Tahoma"/>
          <w:color w:val="000000"/>
          <w:sz w:val="22"/>
          <w:szCs w:val="22"/>
          <w:lang w:val="id-ID"/>
        </w:rPr>
        <w:t>-201</w:t>
      </w:r>
      <w:r>
        <w:rPr>
          <w:rFonts w:ascii="Tahoma" w:hAnsi="Tahoma" w:cs="Tahoma"/>
          <w:color w:val="000000"/>
          <w:sz w:val="22"/>
          <w:szCs w:val="22"/>
        </w:rPr>
        <w:t>9</w:t>
      </w:r>
    </w:p>
    <w:tbl>
      <w:tblPr>
        <w:tblStyle w:val="7"/>
        <w:tblW w:w="0" w:type="auto"/>
        <w:tblInd w:w="8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93"/>
        <w:gridCol w:w="3202"/>
        <w:gridCol w:w="29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93" w:type="dxa"/>
            <w:shd w:val="clear" w:color="auto" w:fill="DDD9C3"/>
          </w:tcPr>
          <w:p>
            <w:pPr>
              <w:pStyle w:val="20"/>
              <w:numPr>
                <w:ilvl w:val="0"/>
                <w:numId w:val="0"/>
              </w:numPr>
              <w:rPr>
                <w:rFonts w:ascii="Tahoma" w:hAnsi="Tahoma" w:cs="Tahoma"/>
                <w:b w:val="0"/>
                <w:color w:val="000000"/>
                <w:sz w:val="22"/>
                <w:szCs w:val="22"/>
                <w:lang w:val="id-ID"/>
              </w:rPr>
            </w:pPr>
            <w:r>
              <w:rPr>
                <w:rFonts w:ascii="Tahoma" w:hAnsi="Tahoma" w:cs="Tahoma"/>
                <w:b w:val="0"/>
                <w:color w:val="000000"/>
                <w:sz w:val="22"/>
                <w:szCs w:val="22"/>
                <w:lang w:val="id-ID"/>
              </w:rPr>
              <w:t>Tahun</w:t>
            </w:r>
          </w:p>
        </w:tc>
        <w:tc>
          <w:tcPr>
            <w:tcW w:w="3202" w:type="dxa"/>
            <w:shd w:val="clear" w:color="auto" w:fill="DDD9C3"/>
          </w:tcPr>
          <w:p>
            <w:pPr>
              <w:pStyle w:val="20"/>
              <w:numPr>
                <w:ilvl w:val="0"/>
                <w:numId w:val="0"/>
              </w:numPr>
              <w:rPr>
                <w:rFonts w:ascii="Tahoma" w:hAnsi="Tahoma" w:cs="Tahoma"/>
                <w:b w:val="0"/>
                <w:color w:val="000000"/>
                <w:sz w:val="22"/>
                <w:szCs w:val="22"/>
                <w:lang w:val="id-ID"/>
              </w:rPr>
            </w:pPr>
            <w:r>
              <w:rPr>
                <w:rFonts w:ascii="Tahoma" w:hAnsi="Tahoma" w:cs="Tahoma"/>
                <w:b w:val="0"/>
                <w:color w:val="000000"/>
                <w:sz w:val="22"/>
                <w:szCs w:val="22"/>
                <w:lang w:val="id-ID"/>
              </w:rPr>
              <w:t>Realisasi</w:t>
            </w:r>
          </w:p>
          <w:p>
            <w:pPr>
              <w:pStyle w:val="20"/>
              <w:numPr>
                <w:ilvl w:val="0"/>
                <w:numId w:val="0"/>
              </w:numPr>
              <w:rPr>
                <w:rFonts w:ascii="Tahoma" w:hAnsi="Tahoma" w:cs="Tahoma"/>
                <w:b w:val="0"/>
                <w:color w:val="000000"/>
                <w:sz w:val="22"/>
                <w:szCs w:val="22"/>
              </w:rPr>
            </w:pPr>
          </w:p>
        </w:tc>
        <w:tc>
          <w:tcPr>
            <w:tcW w:w="2977" w:type="dxa"/>
            <w:shd w:val="clear" w:color="auto" w:fill="DDD9C3"/>
          </w:tcPr>
          <w:p>
            <w:pPr>
              <w:pStyle w:val="20"/>
              <w:numPr>
                <w:ilvl w:val="0"/>
                <w:numId w:val="0"/>
              </w:numPr>
              <w:rPr>
                <w:rFonts w:ascii="Tahoma" w:hAnsi="Tahoma" w:cs="Tahoma"/>
                <w:b w:val="0"/>
                <w:color w:val="000000"/>
                <w:sz w:val="22"/>
                <w:szCs w:val="22"/>
              </w:rPr>
            </w:pPr>
            <w:r>
              <w:rPr>
                <w:rFonts w:ascii="Tahoma" w:hAnsi="Tahoma" w:cs="Tahoma"/>
                <w:b w:val="0"/>
                <w:color w:val="000000"/>
                <w:sz w:val="22"/>
                <w:szCs w:val="22"/>
              </w:rPr>
              <w:t>Perbandingan peningkatan realisasi PAD dari tahun sebelumnya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93" w:type="dxa"/>
          </w:tcPr>
          <w:p>
            <w:pPr>
              <w:pStyle w:val="20"/>
              <w:numPr>
                <w:ilvl w:val="0"/>
                <w:numId w:val="0"/>
              </w:numPr>
              <w:rPr>
                <w:rFonts w:ascii="Tahoma" w:hAnsi="Tahoma" w:cs="Tahoma"/>
                <w:b w:val="0"/>
                <w:color w:val="000000"/>
                <w:sz w:val="22"/>
                <w:szCs w:val="22"/>
                <w:lang w:val="id-ID"/>
              </w:rPr>
            </w:pPr>
            <w:r>
              <w:rPr>
                <w:rFonts w:ascii="Tahoma" w:hAnsi="Tahoma" w:cs="Tahoma"/>
                <w:b w:val="0"/>
                <w:color w:val="000000"/>
                <w:sz w:val="22"/>
                <w:szCs w:val="22"/>
                <w:lang w:val="id-ID"/>
              </w:rPr>
              <w:t>2016</w:t>
            </w:r>
          </w:p>
        </w:tc>
        <w:tc>
          <w:tcPr>
            <w:tcW w:w="3202" w:type="dxa"/>
          </w:tcPr>
          <w:p>
            <w:pPr>
              <w:pStyle w:val="20"/>
              <w:numPr>
                <w:ilvl w:val="0"/>
                <w:numId w:val="0"/>
              </w:numPr>
              <w:rPr>
                <w:rFonts w:ascii="Tahoma" w:hAnsi="Tahoma" w:cs="Tahoma"/>
                <w:b w:val="0"/>
                <w:color w:val="auto"/>
                <w:sz w:val="22"/>
                <w:szCs w:val="22"/>
              </w:rPr>
            </w:pPr>
            <w:r>
              <w:rPr>
                <w:rFonts w:ascii="Tahoma" w:hAnsi="Tahoma" w:cs="Tahoma"/>
                <w:b w:val="0"/>
                <w:color w:val="auto"/>
                <w:sz w:val="22"/>
                <w:szCs w:val="22"/>
              </w:rPr>
              <w:t>Rp. 1.964.148.975.798,55</w:t>
            </w:r>
          </w:p>
        </w:tc>
        <w:tc>
          <w:tcPr>
            <w:tcW w:w="2977" w:type="dxa"/>
          </w:tcPr>
          <w:p>
            <w:pPr>
              <w:pStyle w:val="20"/>
              <w:numPr>
                <w:ilvl w:val="0"/>
                <w:numId w:val="0"/>
              </w:numPr>
              <w:rPr>
                <w:rFonts w:ascii="Tahoma" w:hAnsi="Tahoma" w:cs="Tahoma"/>
                <w:b w:val="0"/>
                <w:color w:val="auto"/>
                <w:sz w:val="22"/>
                <w:szCs w:val="22"/>
                <w:lang w:val="id-ID"/>
              </w:rPr>
            </w:pPr>
            <w:r>
              <w:rPr>
                <w:rFonts w:ascii="Tahoma" w:hAnsi="Tahoma" w:cs="Tahoma"/>
                <w:b w:val="0"/>
                <w:color w:val="auto"/>
                <w:sz w:val="22"/>
                <w:szCs w:val="22"/>
              </w:rPr>
              <w:t>4,66</w:t>
            </w:r>
            <w:r>
              <w:rPr>
                <w:rFonts w:ascii="Tahoma" w:hAnsi="Tahoma" w:cs="Tahoma"/>
                <w:b w:val="0"/>
                <w:color w:val="auto"/>
                <w:sz w:val="22"/>
                <w:szCs w:val="22"/>
                <w:lang w:val="id-ID"/>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93" w:type="dxa"/>
          </w:tcPr>
          <w:p>
            <w:pPr>
              <w:pStyle w:val="20"/>
              <w:numPr>
                <w:ilvl w:val="0"/>
                <w:numId w:val="0"/>
              </w:numPr>
              <w:rPr>
                <w:rFonts w:ascii="Tahoma" w:hAnsi="Tahoma" w:cs="Tahoma"/>
                <w:b w:val="0"/>
                <w:color w:val="000000"/>
                <w:sz w:val="22"/>
                <w:szCs w:val="22"/>
                <w:lang w:val="id-ID"/>
              </w:rPr>
            </w:pPr>
            <w:r>
              <w:rPr>
                <w:rFonts w:ascii="Tahoma" w:hAnsi="Tahoma" w:cs="Tahoma"/>
                <w:b w:val="0"/>
                <w:color w:val="000000"/>
                <w:sz w:val="22"/>
                <w:szCs w:val="22"/>
                <w:lang w:val="id-ID"/>
              </w:rPr>
              <w:t>2017</w:t>
            </w:r>
          </w:p>
        </w:tc>
        <w:tc>
          <w:tcPr>
            <w:tcW w:w="3202" w:type="dxa"/>
          </w:tcPr>
          <w:p>
            <w:pPr>
              <w:pStyle w:val="20"/>
              <w:numPr>
                <w:ilvl w:val="0"/>
                <w:numId w:val="0"/>
              </w:numPr>
              <w:rPr>
                <w:rFonts w:ascii="Tahoma" w:hAnsi="Tahoma" w:cs="Tahoma"/>
                <w:b w:val="0"/>
                <w:color w:val="auto"/>
                <w:sz w:val="22"/>
                <w:szCs w:val="22"/>
              </w:rPr>
            </w:pPr>
            <w:r>
              <w:rPr>
                <w:rFonts w:ascii="Tahoma" w:hAnsi="Tahoma" w:cs="Tahoma"/>
                <w:b w:val="0"/>
                <w:color w:val="auto"/>
                <w:sz w:val="22"/>
                <w:szCs w:val="22"/>
              </w:rPr>
              <w:t>Rp. 2.134.010.519.503,41</w:t>
            </w:r>
          </w:p>
        </w:tc>
        <w:tc>
          <w:tcPr>
            <w:tcW w:w="2977" w:type="dxa"/>
          </w:tcPr>
          <w:p>
            <w:pPr>
              <w:pStyle w:val="20"/>
              <w:numPr>
                <w:ilvl w:val="0"/>
                <w:numId w:val="0"/>
              </w:numPr>
              <w:rPr>
                <w:rFonts w:ascii="Tahoma" w:hAnsi="Tahoma" w:cs="Tahoma"/>
                <w:b w:val="0"/>
                <w:color w:val="auto"/>
                <w:sz w:val="22"/>
                <w:szCs w:val="22"/>
                <w:lang w:val="id-ID"/>
              </w:rPr>
            </w:pPr>
            <w:r>
              <w:rPr>
                <w:rFonts w:ascii="Tahoma" w:hAnsi="Tahoma" w:cs="Tahoma"/>
                <w:b w:val="0"/>
                <w:color w:val="auto"/>
                <w:sz w:val="22"/>
                <w:szCs w:val="22"/>
              </w:rPr>
              <w:t>8,65</w:t>
            </w:r>
            <w:r>
              <w:rPr>
                <w:rFonts w:ascii="Tahoma" w:hAnsi="Tahoma" w:cs="Tahoma"/>
                <w:b w:val="0"/>
                <w:color w:val="auto"/>
                <w:sz w:val="22"/>
                <w:szCs w:val="22"/>
                <w:lang w:val="id-ID"/>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93" w:type="dxa"/>
          </w:tcPr>
          <w:p>
            <w:pPr>
              <w:pStyle w:val="20"/>
              <w:numPr>
                <w:ilvl w:val="0"/>
                <w:numId w:val="0"/>
              </w:numPr>
              <w:rPr>
                <w:rFonts w:ascii="Tahoma" w:hAnsi="Tahoma" w:cs="Tahoma"/>
                <w:b w:val="0"/>
                <w:color w:val="000000"/>
                <w:sz w:val="22"/>
                <w:szCs w:val="22"/>
                <w:lang w:val="id-ID"/>
              </w:rPr>
            </w:pPr>
            <w:r>
              <w:rPr>
                <w:rFonts w:ascii="Tahoma" w:hAnsi="Tahoma" w:cs="Tahoma"/>
                <w:b w:val="0"/>
                <w:color w:val="000000"/>
                <w:sz w:val="22"/>
                <w:szCs w:val="22"/>
                <w:lang w:val="id-ID"/>
              </w:rPr>
              <w:t>2018</w:t>
            </w:r>
          </w:p>
        </w:tc>
        <w:tc>
          <w:tcPr>
            <w:tcW w:w="3202" w:type="dxa"/>
          </w:tcPr>
          <w:p>
            <w:pPr>
              <w:pStyle w:val="20"/>
              <w:numPr>
                <w:ilvl w:val="0"/>
                <w:numId w:val="0"/>
              </w:numPr>
              <w:rPr>
                <w:rFonts w:ascii="Tahoma" w:hAnsi="Tahoma" w:cs="Tahoma"/>
                <w:b w:val="0"/>
                <w:color w:val="auto"/>
                <w:sz w:val="22"/>
                <w:szCs w:val="22"/>
              </w:rPr>
            </w:pPr>
            <w:r>
              <w:rPr>
                <w:rFonts w:ascii="Tahoma" w:hAnsi="Tahoma" w:cs="Tahoma"/>
                <w:b w:val="0"/>
                <w:color w:val="auto"/>
                <w:sz w:val="22"/>
                <w:szCs w:val="22"/>
              </w:rPr>
              <w:t>Rp. 2.275.090.068.586,90</w:t>
            </w:r>
          </w:p>
        </w:tc>
        <w:tc>
          <w:tcPr>
            <w:tcW w:w="2977" w:type="dxa"/>
          </w:tcPr>
          <w:p>
            <w:pPr>
              <w:pStyle w:val="20"/>
              <w:numPr>
                <w:ilvl w:val="0"/>
                <w:numId w:val="0"/>
              </w:numPr>
              <w:rPr>
                <w:rFonts w:ascii="Tahoma" w:hAnsi="Tahoma" w:cs="Tahoma"/>
                <w:b w:val="0"/>
                <w:color w:val="auto"/>
                <w:sz w:val="22"/>
                <w:szCs w:val="22"/>
                <w:lang w:val="id-ID"/>
              </w:rPr>
            </w:pPr>
            <w:r>
              <w:rPr>
                <w:rFonts w:ascii="Tahoma" w:hAnsi="Tahoma" w:cs="Tahoma"/>
                <w:b w:val="0"/>
                <w:color w:val="auto"/>
                <w:sz w:val="22"/>
                <w:szCs w:val="22"/>
              </w:rPr>
              <w:t>6,61</w:t>
            </w:r>
            <w:r>
              <w:rPr>
                <w:rFonts w:ascii="Tahoma" w:hAnsi="Tahoma" w:cs="Tahoma"/>
                <w:b w:val="0"/>
                <w:color w:val="auto"/>
                <w:sz w:val="22"/>
                <w:szCs w:val="22"/>
                <w:lang w:val="id-ID"/>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93" w:type="dxa"/>
          </w:tcPr>
          <w:p>
            <w:pPr>
              <w:pStyle w:val="20"/>
              <w:numPr>
                <w:ilvl w:val="0"/>
                <w:numId w:val="0"/>
              </w:numPr>
              <w:rPr>
                <w:rFonts w:ascii="Tahoma" w:hAnsi="Tahoma" w:cs="Tahoma"/>
                <w:b w:val="0"/>
                <w:color w:val="000000"/>
                <w:sz w:val="22"/>
                <w:szCs w:val="22"/>
                <w:lang w:val="id-ID"/>
              </w:rPr>
            </w:pPr>
            <w:r>
              <w:rPr>
                <w:rFonts w:ascii="Tahoma" w:hAnsi="Tahoma" w:cs="Tahoma"/>
                <w:b w:val="0"/>
                <w:color w:val="000000"/>
                <w:sz w:val="22"/>
                <w:szCs w:val="22"/>
                <w:lang w:val="id-ID"/>
              </w:rPr>
              <w:t>2019</w:t>
            </w:r>
          </w:p>
        </w:tc>
        <w:tc>
          <w:tcPr>
            <w:tcW w:w="3202" w:type="dxa"/>
          </w:tcPr>
          <w:p>
            <w:pPr>
              <w:pStyle w:val="20"/>
              <w:numPr>
                <w:ilvl w:val="0"/>
                <w:numId w:val="0"/>
              </w:numPr>
              <w:rPr>
                <w:rFonts w:ascii="Tahoma" w:hAnsi="Tahoma" w:cs="Tahoma"/>
                <w:b w:val="0"/>
                <w:color w:val="auto"/>
                <w:sz w:val="22"/>
                <w:szCs w:val="22"/>
              </w:rPr>
            </w:pPr>
            <w:r>
              <w:rPr>
                <w:rFonts w:ascii="Tahoma" w:hAnsi="Tahoma" w:cs="Tahoma"/>
                <w:b w:val="0"/>
                <w:color w:val="auto"/>
                <w:sz w:val="22"/>
                <w:szCs w:val="22"/>
              </w:rPr>
              <w:t>Rp. 2.328.432.873.686,19</w:t>
            </w:r>
          </w:p>
        </w:tc>
        <w:tc>
          <w:tcPr>
            <w:tcW w:w="2977" w:type="dxa"/>
          </w:tcPr>
          <w:p>
            <w:pPr>
              <w:pStyle w:val="20"/>
              <w:numPr>
                <w:ilvl w:val="0"/>
                <w:numId w:val="0"/>
              </w:numPr>
              <w:rPr>
                <w:rFonts w:ascii="Tahoma" w:hAnsi="Tahoma" w:cs="Tahoma"/>
                <w:b w:val="0"/>
                <w:color w:val="auto"/>
                <w:sz w:val="22"/>
                <w:szCs w:val="22"/>
                <w:lang w:val="id-ID"/>
              </w:rPr>
            </w:pPr>
            <w:r>
              <w:rPr>
                <w:rFonts w:ascii="Tahoma" w:hAnsi="Tahoma" w:cs="Tahoma"/>
                <w:b w:val="0"/>
                <w:color w:val="auto"/>
                <w:sz w:val="22"/>
                <w:szCs w:val="22"/>
              </w:rPr>
              <w:t>2,34</w:t>
            </w:r>
            <w:r>
              <w:rPr>
                <w:rFonts w:ascii="Tahoma" w:hAnsi="Tahoma" w:cs="Tahoma"/>
                <w:b w:val="0"/>
                <w:color w:val="auto"/>
                <w:sz w:val="22"/>
                <w:szCs w:val="22"/>
                <w:lang w:val="id-ID"/>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93" w:type="dxa"/>
          </w:tcPr>
          <w:p>
            <w:pPr>
              <w:pStyle w:val="20"/>
              <w:numPr>
                <w:ilvl w:val="0"/>
                <w:numId w:val="0"/>
              </w:numPr>
              <w:rPr>
                <w:rFonts w:ascii="Tahoma" w:hAnsi="Tahoma" w:cs="Tahoma"/>
                <w:b w:val="0"/>
                <w:color w:val="000000"/>
                <w:sz w:val="22"/>
                <w:szCs w:val="22"/>
                <w:lang w:val="id-ID"/>
              </w:rPr>
            </w:pPr>
            <w:r>
              <w:rPr>
                <w:rFonts w:ascii="Tahoma" w:hAnsi="Tahoma" w:cs="Tahoma"/>
                <w:b w:val="0"/>
                <w:color w:val="000000"/>
                <w:sz w:val="22"/>
                <w:szCs w:val="22"/>
                <w:lang w:val="id-ID"/>
              </w:rPr>
              <w:t>2020</w:t>
            </w:r>
          </w:p>
        </w:tc>
        <w:tc>
          <w:tcPr>
            <w:tcW w:w="3202" w:type="dxa"/>
          </w:tcPr>
          <w:p>
            <w:pPr>
              <w:pStyle w:val="20"/>
              <w:numPr>
                <w:ilvl w:val="0"/>
                <w:numId w:val="0"/>
              </w:numPr>
              <w:rPr>
                <w:rFonts w:ascii="Tahoma" w:hAnsi="Tahoma" w:cs="Tahoma"/>
                <w:b w:val="0"/>
                <w:color w:val="auto"/>
                <w:sz w:val="22"/>
                <w:szCs w:val="22"/>
              </w:rPr>
            </w:pPr>
            <w:r>
              <w:rPr>
                <w:rFonts w:ascii="Tahoma" w:hAnsi="Tahoma" w:cs="Tahoma"/>
                <w:b w:val="0"/>
                <w:color w:val="auto"/>
                <w:sz w:val="22"/>
                <w:szCs w:val="22"/>
              </w:rPr>
              <w:t>Rp. 2.251.335.223.743,41</w:t>
            </w:r>
          </w:p>
        </w:tc>
        <w:tc>
          <w:tcPr>
            <w:tcW w:w="2977" w:type="dxa"/>
          </w:tcPr>
          <w:p>
            <w:pPr>
              <w:pStyle w:val="20"/>
              <w:numPr>
                <w:ilvl w:val="0"/>
                <w:numId w:val="0"/>
              </w:numPr>
              <w:rPr>
                <w:rFonts w:ascii="Tahoma" w:hAnsi="Tahoma" w:cs="Tahoma"/>
                <w:b w:val="0"/>
                <w:color w:val="auto"/>
                <w:sz w:val="22"/>
                <w:szCs w:val="22"/>
              </w:rPr>
            </w:pPr>
            <w:r>
              <w:rPr>
                <w:rFonts w:ascii="Tahoma" w:hAnsi="Tahoma" w:cs="Tahoma"/>
                <w:b w:val="0"/>
                <w:color w:val="auto"/>
                <w:sz w:val="22"/>
                <w:szCs w:val="22"/>
              </w:rPr>
              <w:t>-3,31%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95" w:type="dxa"/>
            <w:gridSpan w:val="2"/>
          </w:tcPr>
          <w:p>
            <w:pPr>
              <w:pStyle w:val="20"/>
              <w:numPr>
                <w:ilvl w:val="0"/>
                <w:numId w:val="0"/>
              </w:numPr>
              <w:rPr>
                <w:rFonts w:ascii="Tahoma" w:hAnsi="Tahoma" w:cs="Tahoma"/>
                <w:b w:val="0"/>
                <w:color w:val="000000"/>
                <w:sz w:val="22"/>
                <w:szCs w:val="22"/>
              </w:rPr>
            </w:pPr>
            <w:r>
              <w:rPr>
                <w:rFonts w:ascii="Tahoma" w:hAnsi="Tahoma" w:cs="Tahoma"/>
                <w:b w:val="0"/>
                <w:color w:val="000000"/>
                <w:sz w:val="22"/>
                <w:szCs w:val="22"/>
              </w:rPr>
              <w:t>Rata-rata</w:t>
            </w:r>
          </w:p>
        </w:tc>
        <w:tc>
          <w:tcPr>
            <w:tcW w:w="2977" w:type="dxa"/>
          </w:tcPr>
          <w:p>
            <w:pPr>
              <w:pStyle w:val="20"/>
              <w:numPr>
                <w:ilvl w:val="0"/>
                <w:numId w:val="0"/>
              </w:numPr>
              <w:rPr>
                <w:rFonts w:ascii="Tahoma" w:hAnsi="Tahoma" w:cs="Tahoma"/>
                <w:b w:val="0"/>
                <w:color w:val="000000"/>
                <w:sz w:val="22"/>
                <w:szCs w:val="22"/>
              </w:rPr>
            </w:pPr>
            <w:r>
              <w:rPr>
                <w:rFonts w:ascii="Tahoma" w:hAnsi="Tahoma" w:cs="Tahoma"/>
                <w:b w:val="0"/>
                <w:color w:val="000000"/>
                <w:sz w:val="22"/>
                <w:szCs w:val="22"/>
              </w:rPr>
              <w:t>3,79%</w:t>
            </w:r>
          </w:p>
        </w:tc>
      </w:tr>
    </w:tbl>
    <w:p>
      <w:pPr>
        <w:pStyle w:val="20"/>
        <w:numPr>
          <w:ilvl w:val="0"/>
          <w:numId w:val="0"/>
        </w:numPr>
        <w:jc w:val="both"/>
        <w:rPr>
          <w:rFonts w:ascii="Tahoma" w:hAnsi="Tahoma" w:cs="Tahoma"/>
          <w:color w:val="000000"/>
          <w:sz w:val="22"/>
          <w:szCs w:val="22"/>
        </w:rPr>
      </w:pPr>
    </w:p>
    <w:p>
      <w:pPr>
        <w:pStyle w:val="20"/>
        <w:numPr>
          <w:ilvl w:val="0"/>
          <w:numId w:val="0"/>
        </w:numPr>
        <w:jc w:val="both"/>
        <w:rPr>
          <w:rFonts w:ascii="Tahoma" w:hAnsi="Tahoma" w:cs="Tahoma"/>
          <w:color w:val="000000"/>
          <w:sz w:val="22"/>
          <w:szCs w:val="22"/>
        </w:rPr>
      </w:pPr>
    </w:p>
    <w:p>
      <w:pPr>
        <w:pStyle w:val="20"/>
        <w:numPr>
          <w:ilvl w:val="0"/>
          <w:numId w:val="0"/>
        </w:numPr>
        <w:jc w:val="both"/>
        <w:rPr>
          <w:rFonts w:ascii="Tahoma" w:hAnsi="Tahoma" w:cs="Tahoma"/>
          <w:color w:val="000000"/>
          <w:sz w:val="22"/>
          <w:szCs w:val="22"/>
        </w:rPr>
      </w:pPr>
    </w:p>
    <w:p>
      <w:pPr>
        <w:pStyle w:val="20"/>
        <w:numPr>
          <w:ilvl w:val="0"/>
          <w:numId w:val="0"/>
        </w:numPr>
        <w:jc w:val="both"/>
        <w:rPr>
          <w:rFonts w:ascii="Tahoma" w:hAnsi="Tahoma" w:cs="Tahoma"/>
          <w:color w:val="000000"/>
          <w:sz w:val="22"/>
          <w:szCs w:val="22"/>
        </w:rPr>
      </w:pPr>
    </w:p>
    <w:p>
      <w:pPr>
        <w:pStyle w:val="20"/>
        <w:numPr>
          <w:ilvl w:val="0"/>
          <w:numId w:val="0"/>
        </w:numPr>
        <w:jc w:val="both"/>
        <w:rPr>
          <w:rFonts w:ascii="Tahoma" w:hAnsi="Tahoma" w:cs="Tahoma"/>
          <w:color w:val="000000"/>
          <w:sz w:val="22"/>
          <w:szCs w:val="22"/>
        </w:rPr>
      </w:pPr>
    </w:p>
    <w:p>
      <w:pPr>
        <w:pStyle w:val="20"/>
        <w:numPr>
          <w:ilvl w:val="0"/>
          <w:numId w:val="0"/>
        </w:numPr>
        <w:jc w:val="both"/>
        <w:rPr>
          <w:rFonts w:ascii="Tahoma" w:hAnsi="Tahoma" w:cs="Tahoma"/>
          <w:color w:val="000000"/>
          <w:sz w:val="22"/>
          <w:szCs w:val="22"/>
        </w:rPr>
      </w:pPr>
    </w:p>
    <w:p>
      <w:pPr>
        <w:pStyle w:val="20"/>
        <w:numPr>
          <w:ilvl w:val="0"/>
          <w:numId w:val="0"/>
        </w:numPr>
        <w:jc w:val="both"/>
        <w:rPr>
          <w:rFonts w:ascii="Tahoma" w:hAnsi="Tahoma" w:cs="Tahoma"/>
          <w:color w:val="000000"/>
          <w:sz w:val="22"/>
          <w:szCs w:val="22"/>
        </w:rPr>
      </w:pPr>
    </w:p>
    <w:p>
      <w:pPr>
        <w:pStyle w:val="20"/>
        <w:numPr>
          <w:ilvl w:val="0"/>
          <w:numId w:val="0"/>
        </w:numPr>
        <w:jc w:val="both"/>
        <w:rPr>
          <w:rFonts w:ascii="Tahoma" w:hAnsi="Tahoma" w:cs="Tahoma"/>
          <w:color w:val="000000"/>
          <w:sz w:val="22"/>
          <w:szCs w:val="22"/>
        </w:rPr>
      </w:pPr>
    </w:p>
    <w:p>
      <w:pPr>
        <w:pStyle w:val="20"/>
        <w:numPr>
          <w:ilvl w:val="0"/>
          <w:numId w:val="0"/>
        </w:numPr>
        <w:jc w:val="both"/>
        <w:rPr>
          <w:rFonts w:ascii="Tahoma" w:hAnsi="Tahoma" w:cs="Tahoma"/>
          <w:color w:val="000000"/>
          <w:sz w:val="22"/>
          <w:szCs w:val="22"/>
        </w:rPr>
      </w:pPr>
    </w:p>
    <w:p>
      <w:pPr>
        <w:pStyle w:val="20"/>
        <w:numPr>
          <w:ilvl w:val="0"/>
          <w:numId w:val="0"/>
        </w:numPr>
        <w:jc w:val="both"/>
        <w:rPr>
          <w:rFonts w:ascii="Tahoma" w:hAnsi="Tahoma" w:cs="Tahoma"/>
          <w:color w:val="000000"/>
          <w:sz w:val="22"/>
          <w:szCs w:val="22"/>
        </w:rPr>
      </w:pPr>
    </w:p>
    <w:p>
      <w:pPr>
        <w:pStyle w:val="20"/>
        <w:numPr>
          <w:ilvl w:val="0"/>
          <w:numId w:val="0"/>
        </w:numPr>
        <w:jc w:val="both"/>
        <w:rPr>
          <w:rFonts w:ascii="Tahoma" w:hAnsi="Tahoma" w:cs="Tahoma"/>
          <w:color w:val="000000"/>
          <w:sz w:val="22"/>
          <w:szCs w:val="22"/>
        </w:rPr>
      </w:pPr>
    </w:p>
    <w:p>
      <w:pPr>
        <w:pStyle w:val="20"/>
        <w:numPr>
          <w:ilvl w:val="0"/>
          <w:numId w:val="0"/>
        </w:numPr>
        <w:jc w:val="both"/>
        <w:rPr>
          <w:rFonts w:ascii="Tahoma" w:hAnsi="Tahoma" w:cs="Tahoma"/>
          <w:color w:val="000000"/>
          <w:sz w:val="22"/>
          <w:szCs w:val="22"/>
        </w:rPr>
      </w:pPr>
    </w:p>
    <w:p>
      <w:pPr>
        <w:pStyle w:val="20"/>
        <w:numPr>
          <w:ilvl w:val="0"/>
          <w:numId w:val="0"/>
        </w:numPr>
        <w:jc w:val="both"/>
        <w:rPr>
          <w:rFonts w:ascii="Tahoma" w:hAnsi="Tahoma" w:cs="Tahoma"/>
          <w:color w:val="000000"/>
          <w:sz w:val="22"/>
          <w:szCs w:val="22"/>
        </w:rPr>
      </w:pPr>
    </w:p>
    <w:p>
      <w:pPr>
        <w:pStyle w:val="20"/>
        <w:numPr>
          <w:ilvl w:val="0"/>
          <w:numId w:val="0"/>
        </w:numPr>
        <w:ind w:left="1264"/>
        <w:rPr>
          <w:rFonts w:hint="default" w:ascii="Tahoma" w:hAnsi="Tahoma" w:cs="Tahoma"/>
          <w:color w:val="000000"/>
          <w:sz w:val="22"/>
          <w:szCs w:val="22"/>
          <w:lang w:val="en-US"/>
        </w:rPr>
      </w:pPr>
      <w:r>
        <w:rPr>
          <w:rFonts w:ascii="Tahoma" w:hAnsi="Tahoma" w:cs="Tahoma"/>
          <w:color w:val="000000"/>
          <w:sz w:val="22"/>
          <w:szCs w:val="22"/>
          <w:lang w:val="id-ID"/>
        </w:rPr>
        <w:t xml:space="preserve">Grafik </w:t>
      </w:r>
      <w:r>
        <w:rPr>
          <w:rFonts w:ascii="Tahoma" w:hAnsi="Tahoma" w:cs="Tahoma"/>
          <w:color w:val="000000"/>
          <w:sz w:val="22"/>
          <w:szCs w:val="22"/>
        </w:rPr>
        <w:t>3.</w:t>
      </w:r>
      <w:r>
        <w:rPr>
          <w:rFonts w:hint="default" w:ascii="Tahoma" w:hAnsi="Tahoma" w:cs="Tahoma"/>
          <w:color w:val="000000"/>
          <w:sz w:val="22"/>
          <w:szCs w:val="22"/>
          <w:lang w:val="en-US"/>
        </w:rPr>
        <w:t>1</w:t>
      </w:r>
    </w:p>
    <w:p>
      <w:pPr>
        <w:pStyle w:val="20"/>
        <w:numPr>
          <w:ilvl w:val="0"/>
          <w:numId w:val="0"/>
        </w:numPr>
        <w:spacing w:before="120" w:line="360" w:lineRule="auto"/>
        <w:ind w:left="851"/>
        <w:rPr>
          <w:rFonts w:ascii="Tahoma" w:hAnsi="Tahoma" w:cs="Tahoma"/>
          <w:color w:val="000000"/>
          <w:sz w:val="22"/>
          <w:szCs w:val="22"/>
        </w:rPr>
      </w:pPr>
      <w:r>
        <w:rPr>
          <w:rFonts w:ascii="Tahoma" w:hAnsi="Tahoma" w:cs="Tahoma"/>
          <w:color w:val="000000"/>
          <w:sz w:val="22"/>
          <w:szCs w:val="22"/>
        </w:rPr>
        <w:t>Peningkatan PAD Tahun 2016-2020</w:t>
      </w:r>
    </w:p>
    <w:p>
      <w:pPr>
        <w:pStyle w:val="20"/>
        <w:numPr>
          <w:ilvl w:val="0"/>
          <w:numId w:val="0"/>
        </w:numPr>
        <w:spacing w:before="120" w:line="360" w:lineRule="auto"/>
        <w:ind w:left="851"/>
        <w:rPr>
          <w:rFonts w:ascii="Tahoma" w:hAnsi="Tahoma" w:cs="Tahoma"/>
          <w:color w:val="000000"/>
          <w:sz w:val="22"/>
          <w:szCs w:val="22"/>
          <w:lang w:val="id-ID" w:eastAsia="id-ID"/>
        </w:rPr>
      </w:pPr>
      <w:r>
        <w:rPr>
          <w:rFonts w:ascii="Tahoma" w:hAnsi="Tahoma" w:cs="Tahoma"/>
          <w:color w:val="000000"/>
          <w:sz w:val="22"/>
          <w:szCs w:val="22"/>
          <w:lang w:val="id-ID" w:eastAsia="id-ID"/>
        </w:rPr>
        <w:drawing>
          <wp:inline distT="0" distB="0" distL="114300" distR="114300">
            <wp:extent cx="4375785" cy="2990850"/>
            <wp:effectExtent l="4445" t="4445" r="20320" b="146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20"/>
        <w:numPr>
          <w:ilvl w:val="0"/>
          <w:numId w:val="0"/>
        </w:numPr>
        <w:spacing w:before="120" w:line="360" w:lineRule="auto"/>
        <w:ind w:left="851"/>
        <w:rPr>
          <w:rFonts w:ascii="Tahoma" w:hAnsi="Tahoma" w:cs="Tahoma"/>
          <w:color w:val="000000"/>
          <w:sz w:val="22"/>
          <w:szCs w:val="22"/>
          <w:lang w:val="id-ID" w:eastAsia="id-ID"/>
        </w:rPr>
      </w:pPr>
    </w:p>
    <w:p>
      <w:pPr>
        <w:tabs>
          <w:tab w:val="left" w:pos="660"/>
        </w:tabs>
        <w:spacing w:before="120" w:after="0" w:line="360" w:lineRule="auto"/>
        <w:ind w:left="660" w:leftChars="295" w:hanging="11" w:hangingChars="5"/>
        <w:jc w:val="both"/>
        <w:rPr>
          <w:rFonts w:ascii="Tahoma" w:hAnsi="Tahoma" w:cs="Tahoma"/>
          <w:i/>
          <w:lang w:val="id-ID"/>
        </w:rPr>
      </w:pPr>
      <w:r>
        <w:rPr>
          <w:rFonts w:ascii="Tahoma" w:hAnsi="Tahoma" w:cs="Tahoma"/>
          <w:bCs/>
          <w:color w:val="000000"/>
          <w:lang w:val="id-ID"/>
        </w:rPr>
        <w:t>Peningkatan sumber-sumber Pendapatan Asli Daerah ini semuanya diperoleh dari kegiatan intensifikasi yang dilakukan melalui berbagai upaya yaitu :</w:t>
      </w:r>
    </w:p>
    <w:p>
      <w:pPr>
        <w:spacing w:before="120" w:after="0" w:line="360" w:lineRule="auto"/>
        <w:ind w:left="1100" w:leftChars="300" w:hanging="440" w:hangingChars="200"/>
        <w:jc w:val="both"/>
        <w:rPr>
          <w:rFonts w:ascii="Tahoma" w:hAnsi="Tahoma" w:cs="Tahoma"/>
          <w:b/>
          <w:lang w:val="id-ID"/>
        </w:rPr>
      </w:pPr>
      <w:r>
        <w:rPr>
          <w:rFonts w:ascii="Tahoma" w:hAnsi="Tahoma" w:cs="Tahoma"/>
          <w:b/>
        </w:rPr>
        <w:t xml:space="preserve">1. </w:t>
      </w:r>
      <w:r>
        <w:rPr>
          <w:rFonts w:hint="default" w:ascii="Tahoma" w:hAnsi="Tahoma" w:cs="Tahoma"/>
          <w:b/>
          <w:lang w:val="en-US"/>
        </w:rPr>
        <w:t xml:space="preserve">  </w:t>
      </w:r>
      <w:r>
        <w:rPr>
          <w:rFonts w:ascii="Tahoma" w:hAnsi="Tahoma" w:cs="Tahoma"/>
          <w:b/>
          <w:lang w:val="fi-FI"/>
        </w:rPr>
        <w:t>Peningkatan Pelayanan melalui :</w:t>
      </w:r>
    </w:p>
    <w:p>
      <w:pPr>
        <w:spacing w:after="0" w:line="360" w:lineRule="auto"/>
        <w:ind w:left="1320" w:leftChars="500" w:hanging="220" w:hangingChars="100"/>
        <w:jc w:val="both"/>
        <w:rPr>
          <w:rFonts w:ascii="Tahoma" w:hAnsi="Tahoma" w:cs="Tahoma"/>
          <w:lang w:val="fi-FI"/>
        </w:rPr>
      </w:pPr>
      <w:r>
        <w:rPr>
          <w:rFonts w:ascii="Tahoma" w:hAnsi="Tahoma" w:cs="Tahoma"/>
          <w:lang w:val="id-ID"/>
        </w:rPr>
        <w:t>-</w:t>
      </w:r>
      <w:r>
        <w:rPr>
          <w:rFonts w:hint="default" w:ascii="Tahoma" w:hAnsi="Tahoma" w:cs="Tahoma"/>
          <w:lang w:val="en-US"/>
        </w:rPr>
        <w:t xml:space="preserve"> </w:t>
      </w:r>
      <w:r>
        <w:rPr>
          <w:rFonts w:ascii="Tahoma" w:hAnsi="Tahoma" w:cs="Tahoma"/>
          <w:lang w:val="fi-FI"/>
        </w:rPr>
        <w:t xml:space="preserve">Optimalisasi </w:t>
      </w:r>
      <w:r>
        <w:rPr>
          <w:rFonts w:ascii="Tahoma" w:hAnsi="Tahoma" w:cs="Tahoma"/>
        </w:rPr>
        <w:t>o</w:t>
      </w:r>
      <w:r>
        <w:rPr>
          <w:rFonts w:ascii="Tahoma" w:hAnsi="Tahoma" w:cs="Tahoma"/>
          <w:lang w:val="fi-FI"/>
        </w:rPr>
        <w:t xml:space="preserve">perasional kegiatan Samsat Keliling dengan menyediakan pelayanan </w:t>
      </w:r>
      <w:r>
        <w:rPr>
          <w:rFonts w:ascii="Tahoma" w:hAnsi="Tahoma" w:cs="Tahoma"/>
        </w:rPr>
        <w:t>b</w:t>
      </w:r>
      <w:r>
        <w:rPr>
          <w:rFonts w:ascii="Tahoma" w:hAnsi="Tahoma" w:cs="Tahoma"/>
          <w:lang w:val="fi-FI"/>
        </w:rPr>
        <w:t>us yang lengkap dengan peralatannya</w:t>
      </w:r>
      <w:r>
        <w:rPr>
          <w:rFonts w:ascii="Tahoma" w:hAnsi="Tahoma" w:cs="Tahoma"/>
          <w:lang w:val="id-ID"/>
        </w:rPr>
        <w:t xml:space="preserve"> dimana sampai tahun ini sudah tersedia sebanyak 13 unit bus</w:t>
      </w:r>
      <w:r>
        <w:rPr>
          <w:rFonts w:ascii="Tahoma" w:hAnsi="Tahoma" w:cs="Tahoma"/>
          <w:lang w:val="fi-FI"/>
        </w:rPr>
        <w:t>, yang memberikan pelayanan mudah dan cepat kepada masyarakat yang ingin melakukan perpanjangan ulang kendaraan bermotor yang dimilikinya serta perpanjangan Surat Tanda Nomor Kendaraan Bermotor (STNK) melalui Bus Samsat Keliling pada lokasi-lokasi yang telah ditentukan.</w:t>
      </w:r>
      <w:r>
        <w:rPr>
          <w:rFonts w:ascii="Tahoma" w:hAnsi="Tahoma" w:cs="Tahoma"/>
        </w:rPr>
        <w:t xml:space="preserve">Pelayanan pembayaran Pajak Kendaraan Bermotor dengan Samsat Keliling ini dilaksanakan pada 18 UPTD. </w:t>
      </w:r>
      <w:r>
        <w:rPr>
          <w:rFonts w:ascii="Tahoma" w:hAnsi="Tahoma" w:cs="Tahoma"/>
          <w:lang w:val="fi-FI"/>
        </w:rPr>
        <w:t>Dengan adanya Pelayanan Samsat Keliling ini, diharapkan masyarakat dapat memperoleh manfaat sebagai berikut :</w:t>
      </w:r>
      <w:r>
        <w:rPr>
          <w:rFonts w:ascii="Tahoma" w:hAnsi="Tahoma" w:cs="Tahoma"/>
          <w:lang w:val="id-ID"/>
        </w:rPr>
        <w:t xml:space="preserve"> a) </w:t>
      </w:r>
      <w:r>
        <w:rPr>
          <w:rFonts w:ascii="Tahoma" w:hAnsi="Tahoma" w:cs="Tahoma"/>
          <w:lang w:val="fi-FI"/>
        </w:rPr>
        <w:t>Memberikan kemudahan kepada masyarakat (Wajib Pajak) dalam pengurusan pengesahan Surat Tanda Nomor Kendaraan (STNK) setiap tahun, pembayaran Pajak Kendaraan Bermotor (PKB) dan Sumbangan Wajib Dana Kecelakaan Lalu Lintas (SWDKLL)</w:t>
      </w:r>
      <w:r>
        <w:rPr>
          <w:rFonts w:ascii="Tahoma" w:hAnsi="Tahoma" w:cs="Tahoma"/>
        </w:rPr>
        <w:t>; dan</w:t>
      </w:r>
      <w:r>
        <w:rPr>
          <w:rFonts w:ascii="Tahoma" w:hAnsi="Tahoma" w:cs="Tahoma"/>
          <w:lang w:val="id-ID"/>
        </w:rPr>
        <w:t xml:space="preserve"> b) </w:t>
      </w:r>
      <w:r>
        <w:rPr>
          <w:rFonts w:ascii="Tahoma" w:hAnsi="Tahoma" w:cs="Tahoma"/>
          <w:lang w:val="fi-FI"/>
        </w:rPr>
        <w:t xml:space="preserve">Mendekatkan pelayanan kepada </w:t>
      </w:r>
      <w:r>
        <w:rPr>
          <w:rFonts w:ascii="Tahoma" w:hAnsi="Tahoma" w:cs="Tahoma"/>
        </w:rPr>
        <w:t>m</w:t>
      </w:r>
      <w:r>
        <w:rPr>
          <w:rFonts w:ascii="Tahoma" w:hAnsi="Tahoma" w:cs="Tahoma"/>
          <w:lang w:val="fi-FI"/>
        </w:rPr>
        <w:t xml:space="preserve">asyarakat atau </w:t>
      </w:r>
      <w:r>
        <w:rPr>
          <w:rFonts w:ascii="Tahoma" w:hAnsi="Tahoma" w:cs="Tahoma"/>
        </w:rPr>
        <w:t>w</w:t>
      </w:r>
      <w:r>
        <w:rPr>
          <w:rFonts w:ascii="Tahoma" w:hAnsi="Tahoma" w:cs="Tahoma"/>
          <w:lang w:val="fi-FI"/>
        </w:rPr>
        <w:t xml:space="preserve">ajib </w:t>
      </w:r>
      <w:r>
        <w:rPr>
          <w:rFonts w:ascii="Tahoma" w:hAnsi="Tahoma" w:cs="Tahoma"/>
        </w:rPr>
        <w:t>p</w:t>
      </w:r>
      <w:r>
        <w:rPr>
          <w:rFonts w:ascii="Tahoma" w:hAnsi="Tahoma" w:cs="Tahoma"/>
          <w:lang w:val="fi-FI"/>
        </w:rPr>
        <w:t>ajak sehingga menghemat waktu dan mengurangi biaya.</w:t>
      </w:r>
    </w:p>
    <w:p>
      <w:pPr>
        <w:pStyle w:val="30"/>
        <w:keepNext w:val="0"/>
        <w:keepLines w:val="0"/>
        <w:pageBreakBefore w:val="0"/>
        <w:widowControl/>
        <w:numPr>
          <w:ilvl w:val="2"/>
          <w:numId w:val="38"/>
        </w:numPr>
        <w:kinsoku/>
        <w:wordWrap/>
        <w:overflowPunct/>
        <w:topLinePunct w:val="0"/>
        <w:autoSpaceDE/>
        <w:autoSpaceDN/>
        <w:bidi w:val="0"/>
        <w:adjustRightInd/>
        <w:snapToGrid/>
        <w:spacing w:after="0" w:line="360" w:lineRule="auto"/>
        <w:ind w:left="1320" w:leftChars="500" w:hanging="220" w:hangingChars="100"/>
        <w:jc w:val="both"/>
        <w:textAlignment w:val="auto"/>
        <w:rPr>
          <w:rFonts w:ascii="Tahoma" w:hAnsi="Tahoma" w:cs="Tahoma"/>
        </w:rPr>
      </w:pPr>
      <w:r>
        <w:rPr>
          <w:rFonts w:ascii="Tahoma" w:hAnsi="Tahoma" w:cs="Tahoma"/>
          <w:lang w:val="fi-FI"/>
        </w:rPr>
        <w:t xml:space="preserve">Mengoperasikan Layanan Samsat </w:t>
      </w:r>
      <w:r>
        <w:rPr>
          <w:rFonts w:ascii="Tahoma" w:hAnsi="Tahoma" w:cs="Tahoma"/>
          <w:i/>
          <w:iCs/>
          <w:lang w:val="fi-FI"/>
        </w:rPr>
        <w:t xml:space="preserve">Drive Thru </w:t>
      </w:r>
      <w:r>
        <w:rPr>
          <w:rFonts w:ascii="Tahoma" w:hAnsi="Tahoma" w:cs="Tahoma"/>
        </w:rPr>
        <w:t>yang telah ada</w:t>
      </w:r>
      <w:r>
        <w:rPr>
          <w:rFonts w:hint="default" w:ascii="Tahoma" w:hAnsi="Tahoma" w:cs="Tahoma"/>
          <w:lang w:val="en-US"/>
        </w:rPr>
        <w:t xml:space="preserve"> </w:t>
      </w:r>
      <w:r>
        <w:rPr>
          <w:rFonts w:ascii="Tahoma" w:hAnsi="Tahoma" w:cs="Tahoma"/>
          <w:lang w:val="fi-FI"/>
        </w:rPr>
        <w:t>di Kota Padang dan Bukittinggi</w:t>
      </w:r>
      <w:r>
        <w:rPr>
          <w:rFonts w:ascii="Tahoma" w:hAnsi="Tahoma" w:cs="Tahoma"/>
        </w:rPr>
        <w:t>,</w:t>
      </w:r>
      <w:r>
        <w:rPr>
          <w:rFonts w:hint="default" w:ascii="Tahoma" w:hAnsi="Tahoma" w:cs="Tahoma"/>
          <w:lang w:val="en-US"/>
        </w:rPr>
        <w:t xml:space="preserve"> </w:t>
      </w:r>
      <w:r>
        <w:rPr>
          <w:rFonts w:ascii="Tahoma" w:hAnsi="Tahoma" w:cs="Tahoma"/>
        </w:rPr>
        <w:t xml:space="preserve">dan </w:t>
      </w:r>
      <w:r>
        <w:rPr>
          <w:rFonts w:ascii="Tahoma" w:hAnsi="Tahoma" w:cs="Tahoma"/>
          <w:lang w:val="id-ID"/>
        </w:rPr>
        <w:t>pada tahun 201</w:t>
      </w:r>
      <w:r>
        <w:rPr>
          <w:rFonts w:ascii="Tahoma" w:hAnsi="Tahoma" w:cs="Tahoma"/>
        </w:rPr>
        <w:t>9</w:t>
      </w:r>
      <w:r>
        <w:rPr>
          <w:rFonts w:ascii="Tahoma" w:hAnsi="Tahoma" w:cs="Tahoma"/>
          <w:lang w:val="id-ID"/>
        </w:rPr>
        <w:t xml:space="preserve"> ini sudah dibangun samsat </w:t>
      </w:r>
      <w:r>
        <w:rPr>
          <w:rFonts w:ascii="Tahoma" w:hAnsi="Tahoma" w:cs="Tahoma"/>
          <w:i/>
          <w:iCs/>
          <w:lang w:val="id-ID"/>
        </w:rPr>
        <w:t xml:space="preserve">Drive Thru </w:t>
      </w:r>
      <w:r>
        <w:rPr>
          <w:rFonts w:ascii="Tahoma" w:hAnsi="Tahoma" w:cs="Tahoma"/>
          <w:lang w:val="id-ID"/>
        </w:rPr>
        <w:t>di Payakumbuh</w:t>
      </w:r>
      <w:r>
        <w:rPr>
          <w:rFonts w:hint="default" w:ascii="Tahoma" w:hAnsi="Tahoma" w:cs="Tahoma"/>
          <w:lang w:val="en-US"/>
        </w:rPr>
        <w:t xml:space="preserve"> </w:t>
      </w:r>
      <w:r>
        <w:rPr>
          <w:rFonts w:ascii="Tahoma" w:hAnsi="Tahoma" w:cs="Tahoma"/>
          <w:lang w:val="id-ID"/>
        </w:rPr>
        <w:t>dan tahun 2020 sudah operasional</w:t>
      </w:r>
    </w:p>
    <w:p>
      <w:pPr>
        <w:pStyle w:val="30"/>
        <w:numPr>
          <w:ilvl w:val="2"/>
          <w:numId w:val="38"/>
        </w:numPr>
        <w:spacing w:before="120" w:after="0" w:line="360" w:lineRule="auto"/>
        <w:ind w:left="1320" w:leftChars="500" w:hanging="220" w:hangingChars="100"/>
        <w:jc w:val="both"/>
        <w:rPr>
          <w:rFonts w:ascii="Tahoma" w:hAnsi="Tahoma" w:cs="Tahoma"/>
        </w:rPr>
      </w:pPr>
      <w:r>
        <w:rPr>
          <w:rFonts w:ascii="Tahoma" w:hAnsi="Tahoma" w:cs="Tahoma"/>
          <w:lang w:val="id-ID"/>
        </w:rPr>
        <w:t xml:space="preserve">Galeri </w:t>
      </w:r>
      <w:r>
        <w:rPr>
          <w:rFonts w:ascii="Tahoma" w:hAnsi="Tahoma" w:cs="Tahoma"/>
        </w:rPr>
        <w:t>S</w:t>
      </w:r>
      <w:r>
        <w:rPr>
          <w:rFonts w:ascii="Tahoma" w:hAnsi="Tahoma" w:cs="Tahoma"/>
          <w:lang w:val="id-ID"/>
        </w:rPr>
        <w:t xml:space="preserve">amsat merupakan salah satu produk yang diluncurkan oleh Badan Keuangan Daerah Provinsi Sumatera Barat yang bertujuan untuk semakin mendekatkan pelayanan kepada masyarakat dalam hal melakukan pembayaran Pajak Kendaraan Bermotor yang mereka miliki. Saat ini Galeri Samsat baru sebanyak 2 unit yaitu di Kota Padang yang terletak di Plaza Andalas Padang </w:t>
      </w:r>
      <w:r>
        <w:rPr>
          <w:rFonts w:ascii="Tahoma" w:hAnsi="Tahoma" w:cs="Tahoma"/>
        </w:rPr>
        <w:t>L</w:t>
      </w:r>
      <w:r>
        <w:rPr>
          <w:rFonts w:ascii="Tahoma" w:hAnsi="Tahoma" w:cs="Tahoma"/>
          <w:lang w:val="id-ID"/>
        </w:rPr>
        <w:t xml:space="preserve">antai 3 </w:t>
      </w:r>
      <w:r>
        <w:rPr>
          <w:rFonts w:ascii="Tahoma" w:hAnsi="Tahoma" w:cs="Tahoma"/>
        </w:rPr>
        <w:t>N</w:t>
      </w:r>
      <w:r>
        <w:rPr>
          <w:rFonts w:ascii="Tahoma" w:hAnsi="Tahoma" w:cs="Tahoma"/>
          <w:lang w:val="id-ID"/>
        </w:rPr>
        <w:t xml:space="preserve">omor 23C, serta 1 unit di Kota Bukittinggi yang terletak di </w:t>
      </w:r>
      <w:r>
        <w:rPr>
          <w:rFonts w:ascii="Tahoma" w:hAnsi="Tahoma" w:cs="Tahoma"/>
        </w:rPr>
        <w:t>P</w:t>
      </w:r>
      <w:r>
        <w:rPr>
          <w:rFonts w:ascii="Tahoma" w:hAnsi="Tahoma" w:cs="Tahoma"/>
          <w:lang w:val="id-ID"/>
        </w:rPr>
        <w:t>laza Bukittinggi lantai 2 Blok B31</w:t>
      </w:r>
      <w:r>
        <w:rPr>
          <w:rFonts w:ascii="Tahoma" w:hAnsi="Tahoma" w:cs="Tahoma"/>
        </w:rPr>
        <w:t xml:space="preserve"> dan</w:t>
      </w:r>
      <w:r>
        <w:rPr>
          <w:rFonts w:ascii="Tahoma" w:hAnsi="Tahoma" w:cs="Tahoma"/>
          <w:lang w:val="id-ID"/>
        </w:rPr>
        <w:t xml:space="preserve"> B32. </w:t>
      </w:r>
    </w:p>
    <w:p>
      <w:pPr>
        <w:pStyle w:val="30"/>
        <w:numPr>
          <w:ilvl w:val="2"/>
          <w:numId w:val="38"/>
        </w:numPr>
        <w:spacing w:before="120" w:after="0" w:line="360" w:lineRule="auto"/>
        <w:ind w:left="1320" w:leftChars="500" w:hanging="220" w:hangingChars="100"/>
        <w:jc w:val="both"/>
        <w:rPr>
          <w:rFonts w:ascii="Tahoma" w:hAnsi="Tahoma" w:cs="Tahoma"/>
        </w:rPr>
      </w:pPr>
      <w:r>
        <w:rPr>
          <w:rFonts w:ascii="Tahoma" w:hAnsi="Tahoma" w:cs="Tahoma"/>
          <w:lang w:val="id-ID"/>
        </w:rPr>
        <w:t xml:space="preserve">Operasional Fitur Samsat </w:t>
      </w:r>
      <w:r>
        <w:rPr>
          <w:rFonts w:ascii="Tahoma" w:hAnsi="Tahoma" w:cs="Tahoma"/>
          <w:i/>
          <w:iCs/>
          <w:lang w:val="id-ID"/>
        </w:rPr>
        <w:t xml:space="preserve">Anywhere </w:t>
      </w:r>
      <w:r>
        <w:rPr>
          <w:rFonts w:ascii="Tahoma" w:hAnsi="Tahoma" w:cs="Tahoma"/>
          <w:lang w:val="id-ID"/>
        </w:rPr>
        <w:t xml:space="preserve">diresmikan pada tanggal 8 Desember 2016, dimana sebelum ini pembayaran Pajak Kendaraan </w:t>
      </w:r>
      <w:r>
        <w:rPr>
          <w:rFonts w:ascii="Tahoma" w:hAnsi="Tahoma" w:cs="Tahoma"/>
        </w:rPr>
        <w:t>B</w:t>
      </w:r>
      <w:r>
        <w:rPr>
          <w:rFonts w:ascii="Tahoma" w:hAnsi="Tahoma" w:cs="Tahoma"/>
          <w:lang w:val="id-ID"/>
        </w:rPr>
        <w:t xml:space="preserve">ermotor hanya dapat dilakukan pada Kantor Samsat atau pos pembayaran lainnya </w:t>
      </w:r>
      <w:r>
        <w:rPr>
          <w:rFonts w:ascii="Tahoma" w:hAnsi="Tahoma" w:cs="Tahoma"/>
        </w:rPr>
        <w:t>tempat</w:t>
      </w:r>
      <w:r>
        <w:rPr>
          <w:rFonts w:ascii="Tahoma" w:hAnsi="Tahoma" w:cs="Tahoma"/>
          <w:lang w:val="id-ID"/>
        </w:rPr>
        <w:t xml:space="preserve"> kendaraan tersebut terdaftar. Kebutuhan untuk melakukan pembayaran tanpa dibatasi oleh regional dimana kendaraan tersebut terdaftar semakin hari semakin dibutuhkan</w:t>
      </w:r>
      <w:r>
        <w:rPr>
          <w:rFonts w:ascii="Tahoma" w:hAnsi="Tahoma" w:cs="Tahoma"/>
        </w:rPr>
        <w:t>, s</w:t>
      </w:r>
      <w:r>
        <w:rPr>
          <w:rFonts w:ascii="Tahoma" w:hAnsi="Tahoma" w:cs="Tahoma"/>
          <w:lang w:val="id-ID"/>
        </w:rPr>
        <w:t xml:space="preserve">ehingga dengan adanya fasilitas ini batasan regional tidak ada lagi. </w:t>
      </w:r>
    </w:p>
    <w:p>
      <w:pPr>
        <w:pStyle w:val="30"/>
        <w:numPr>
          <w:ilvl w:val="2"/>
          <w:numId w:val="38"/>
        </w:numPr>
        <w:spacing w:before="120" w:after="0" w:line="360" w:lineRule="auto"/>
        <w:ind w:left="1320" w:leftChars="500" w:hanging="220" w:hangingChars="100"/>
        <w:jc w:val="both"/>
        <w:rPr>
          <w:rFonts w:ascii="Tahoma" w:hAnsi="Tahoma" w:cs="Tahoma"/>
        </w:rPr>
      </w:pPr>
      <w:r>
        <w:rPr>
          <w:rFonts w:ascii="Tahoma" w:hAnsi="Tahoma" w:cs="Tahoma"/>
          <w:lang w:val="id-ID"/>
        </w:rPr>
        <w:t xml:space="preserve">Pada tanggal 18 September 2017 telah diresmikan Samsat Nagari. Samsat Nagari ini merupakan pelayanan yang lebih didekatkan lagi kepada masyarakat, dimana masyarakat dapat membayar pajak di </w:t>
      </w:r>
      <w:r>
        <w:rPr>
          <w:rFonts w:ascii="Tahoma" w:hAnsi="Tahoma" w:cs="Tahoma"/>
        </w:rPr>
        <w:t>K</w:t>
      </w:r>
      <w:r>
        <w:rPr>
          <w:rFonts w:ascii="Tahoma" w:hAnsi="Tahoma" w:cs="Tahoma"/>
          <w:lang w:val="id-ID"/>
        </w:rPr>
        <w:t xml:space="preserve">antor Nagari setempat. </w:t>
      </w:r>
      <w:r>
        <w:rPr>
          <w:rFonts w:ascii="Tahoma" w:hAnsi="Tahoma" w:cs="Tahoma"/>
        </w:rPr>
        <w:t>Pada saat itu</w:t>
      </w:r>
      <w:r>
        <w:rPr>
          <w:rFonts w:ascii="Tahoma" w:hAnsi="Tahoma" w:cs="Tahoma"/>
          <w:lang w:val="id-ID"/>
        </w:rPr>
        <w:t xml:space="preserve"> Samsat </w:t>
      </w:r>
      <w:r>
        <w:rPr>
          <w:rFonts w:ascii="Tahoma" w:hAnsi="Tahoma" w:cs="Tahoma"/>
        </w:rPr>
        <w:t>N</w:t>
      </w:r>
      <w:r>
        <w:rPr>
          <w:rFonts w:ascii="Tahoma" w:hAnsi="Tahoma" w:cs="Tahoma"/>
          <w:lang w:val="id-ID"/>
        </w:rPr>
        <w:t xml:space="preserve">agari baru beroperasi di </w:t>
      </w:r>
      <w:r>
        <w:rPr>
          <w:rFonts w:ascii="Tahoma" w:hAnsi="Tahoma" w:cs="Tahoma"/>
        </w:rPr>
        <w:t>2</w:t>
      </w:r>
      <w:r>
        <w:rPr>
          <w:rFonts w:ascii="Tahoma" w:hAnsi="Tahoma" w:cs="Tahoma"/>
          <w:lang w:val="id-ID"/>
        </w:rPr>
        <w:t xml:space="preserve"> Nagari yaitu: Nagari Koto Baru di Kab. Solok dan Nagari Pasir Talang </w:t>
      </w:r>
      <w:r>
        <w:rPr>
          <w:rFonts w:ascii="Tahoma" w:hAnsi="Tahoma" w:cs="Tahoma"/>
          <w:color w:val="000000"/>
          <w:lang w:val="id-ID"/>
        </w:rPr>
        <w:t xml:space="preserve">Barat di </w:t>
      </w:r>
      <w:r>
        <w:rPr>
          <w:rFonts w:ascii="Tahoma" w:hAnsi="Tahoma" w:cs="Tahoma"/>
          <w:color w:val="000000"/>
        </w:rPr>
        <w:t>K</w:t>
      </w:r>
      <w:r>
        <w:rPr>
          <w:rFonts w:ascii="Tahoma" w:hAnsi="Tahoma" w:cs="Tahoma"/>
          <w:color w:val="000000"/>
          <w:lang w:val="id-ID"/>
        </w:rPr>
        <w:t>ab. Solok Selatan. Peresmian</w:t>
      </w:r>
      <w:r>
        <w:rPr>
          <w:rFonts w:ascii="Tahoma" w:hAnsi="Tahoma" w:cs="Tahoma"/>
          <w:lang w:val="id-ID"/>
        </w:rPr>
        <w:t xml:space="preserve"> Samsat Nagari Ini juga di</w:t>
      </w:r>
      <w:r>
        <w:rPr>
          <w:rFonts w:ascii="Tahoma" w:hAnsi="Tahoma" w:cs="Tahoma"/>
        </w:rPr>
        <w:t>h</w:t>
      </w:r>
      <w:r>
        <w:rPr>
          <w:rFonts w:ascii="Tahoma" w:hAnsi="Tahoma" w:cs="Tahoma"/>
          <w:lang w:val="id-ID"/>
        </w:rPr>
        <w:t xml:space="preserve">adiri </w:t>
      </w:r>
      <w:r>
        <w:rPr>
          <w:rFonts w:ascii="Tahoma" w:hAnsi="Tahoma" w:cs="Tahoma"/>
        </w:rPr>
        <w:t>o</w:t>
      </w:r>
      <w:r>
        <w:rPr>
          <w:rFonts w:ascii="Tahoma" w:hAnsi="Tahoma" w:cs="Tahoma"/>
          <w:lang w:val="id-ID"/>
        </w:rPr>
        <w:t>leh Kepala Korp Lalu Lintas Polisi Republik Indonesia Irjen Pol Drs. Royke Lumowa M.M</w:t>
      </w:r>
      <w:r>
        <w:rPr>
          <w:rFonts w:ascii="Tahoma" w:hAnsi="Tahoma" w:cs="Tahoma"/>
        </w:rPr>
        <w:t>,</w:t>
      </w:r>
      <w:r>
        <w:rPr>
          <w:rFonts w:ascii="Tahoma" w:hAnsi="Tahoma" w:cs="Tahoma"/>
          <w:lang w:val="id-ID"/>
        </w:rPr>
        <w:t xml:space="preserve"> selain itu juga diresmikan oleh Wakil Gubernur Sumatera Barat, Kapolda Sumbar dan Kepala Cabang PT Jasa Raharja. </w:t>
      </w:r>
    </w:p>
    <w:p>
      <w:pPr>
        <w:pStyle w:val="30"/>
        <w:numPr>
          <w:ilvl w:val="2"/>
          <w:numId w:val="38"/>
        </w:numPr>
        <w:spacing w:before="120" w:after="0" w:line="360" w:lineRule="auto"/>
        <w:ind w:left="1320" w:leftChars="500" w:hanging="220" w:hangingChars="100"/>
        <w:jc w:val="both"/>
        <w:rPr>
          <w:rFonts w:ascii="Tahoma" w:hAnsi="Tahoma" w:cs="Tahoma"/>
        </w:rPr>
      </w:pPr>
      <w:r>
        <w:rPr>
          <w:rFonts w:ascii="Tahoma" w:hAnsi="Tahoma" w:cs="Tahoma"/>
        </w:rPr>
        <w:t>Tahun 20</w:t>
      </w:r>
      <w:r>
        <w:rPr>
          <w:rFonts w:hint="default" w:ascii="Tahoma" w:hAnsi="Tahoma" w:cs="Tahoma"/>
          <w:lang w:val="en-US"/>
        </w:rPr>
        <w:t>20</w:t>
      </w:r>
      <w:r>
        <w:rPr>
          <w:rFonts w:ascii="Tahoma" w:hAnsi="Tahoma" w:cs="Tahoma"/>
        </w:rPr>
        <w:t xml:space="preserve"> Samsat Nagari berjumlah 6 </w:t>
      </w:r>
      <w:r>
        <w:rPr>
          <w:rFonts w:hint="default" w:ascii="Tahoma" w:hAnsi="Tahoma" w:cs="Tahoma"/>
          <w:lang w:val="en-US"/>
        </w:rPr>
        <w:t>unit</w:t>
      </w:r>
      <w:r>
        <w:rPr>
          <w:rFonts w:ascii="Tahoma" w:hAnsi="Tahoma" w:cs="Tahoma"/>
        </w:rPr>
        <w:t>. Adapun Kab/Kota yang telah memiliki Samsat Nagari adalah :</w:t>
      </w:r>
    </w:p>
    <w:p>
      <w:pPr>
        <w:pStyle w:val="30"/>
        <w:numPr>
          <w:ilvl w:val="0"/>
          <w:numId w:val="39"/>
        </w:numPr>
        <w:tabs>
          <w:tab w:val="clear" w:pos="425"/>
        </w:tabs>
        <w:spacing w:before="120" w:after="0" w:line="360" w:lineRule="auto"/>
        <w:ind w:left="1760" w:leftChars="600" w:hanging="440" w:hangingChars="200"/>
        <w:jc w:val="both"/>
        <w:rPr>
          <w:rFonts w:ascii="Tahoma" w:hAnsi="Tahoma" w:cs="Tahoma"/>
        </w:rPr>
      </w:pPr>
      <w:r>
        <w:rPr>
          <w:rFonts w:ascii="Tahoma" w:hAnsi="Tahoma" w:cs="Tahoma"/>
        </w:rPr>
        <w:t>Kabupaten Solok</w:t>
      </w:r>
    </w:p>
    <w:p>
      <w:pPr>
        <w:pStyle w:val="30"/>
        <w:numPr>
          <w:ilvl w:val="0"/>
          <w:numId w:val="39"/>
        </w:numPr>
        <w:tabs>
          <w:tab w:val="clear" w:pos="425"/>
        </w:tabs>
        <w:spacing w:before="120" w:after="0" w:line="360" w:lineRule="auto"/>
        <w:ind w:left="1760" w:leftChars="600" w:hanging="440" w:hangingChars="200"/>
        <w:jc w:val="both"/>
        <w:rPr>
          <w:rFonts w:ascii="Tahoma" w:hAnsi="Tahoma" w:cs="Tahoma"/>
        </w:rPr>
      </w:pPr>
      <w:r>
        <w:rPr>
          <w:rFonts w:ascii="Tahoma" w:hAnsi="Tahoma" w:cs="Tahoma"/>
        </w:rPr>
        <w:t>Kabupaten Solok Selatan</w:t>
      </w:r>
    </w:p>
    <w:p>
      <w:pPr>
        <w:pStyle w:val="30"/>
        <w:numPr>
          <w:ilvl w:val="0"/>
          <w:numId w:val="39"/>
        </w:numPr>
        <w:tabs>
          <w:tab w:val="clear" w:pos="425"/>
        </w:tabs>
        <w:spacing w:before="120" w:after="0" w:line="360" w:lineRule="auto"/>
        <w:ind w:left="1760" w:leftChars="600" w:hanging="440" w:hangingChars="200"/>
        <w:jc w:val="both"/>
        <w:rPr>
          <w:rFonts w:ascii="Tahoma" w:hAnsi="Tahoma" w:cs="Tahoma"/>
        </w:rPr>
      </w:pPr>
      <w:r>
        <w:rPr>
          <w:rFonts w:ascii="Tahoma" w:hAnsi="Tahoma" w:cs="Tahoma"/>
        </w:rPr>
        <w:t>Kabupaten Painan</w:t>
      </w:r>
    </w:p>
    <w:p>
      <w:pPr>
        <w:pStyle w:val="30"/>
        <w:numPr>
          <w:ilvl w:val="0"/>
          <w:numId w:val="39"/>
        </w:numPr>
        <w:tabs>
          <w:tab w:val="clear" w:pos="425"/>
        </w:tabs>
        <w:spacing w:before="120" w:after="0" w:line="360" w:lineRule="auto"/>
        <w:ind w:left="1760" w:leftChars="600" w:hanging="440" w:hangingChars="200"/>
        <w:jc w:val="both"/>
        <w:rPr>
          <w:rFonts w:ascii="Tahoma" w:hAnsi="Tahoma" w:cs="Tahoma"/>
        </w:rPr>
      </w:pPr>
      <w:r>
        <w:rPr>
          <w:rFonts w:ascii="Tahoma" w:hAnsi="Tahoma" w:cs="Tahoma"/>
        </w:rPr>
        <w:t>Kabupaten Dharmasraya</w:t>
      </w:r>
    </w:p>
    <w:p>
      <w:pPr>
        <w:pStyle w:val="30"/>
        <w:numPr>
          <w:ilvl w:val="0"/>
          <w:numId w:val="39"/>
        </w:numPr>
        <w:tabs>
          <w:tab w:val="clear" w:pos="425"/>
        </w:tabs>
        <w:spacing w:before="120" w:after="0" w:line="360" w:lineRule="auto"/>
        <w:ind w:left="1760" w:leftChars="600" w:hanging="440" w:hangingChars="200"/>
        <w:jc w:val="both"/>
        <w:rPr>
          <w:rFonts w:ascii="Tahoma" w:hAnsi="Tahoma" w:cs="Tahoma"/>
        </w:rPr>
      </w:pPr>
      <w:r>
        <w:rPr>
          <w:rFonts w:ascii="Tahoma" w:hAnsi="Tahoma" w:cs="Tahoma"/>
        </w:rPr>
        <w:t>Kabupaten Pasaman</w:t>
      </w:r>
    </w:p>
    <w:p>
      <w:pPr>
        <w:pStyle w:val="30"/>
        <w:numPr>
          <w:ilvl w:val="0"/>
          <w:numId w:val="39"/>
        </w:numPr>
        <w:tabs>
          <w:tab w:val="clear" w:pos="425"/>
        </w:tabs>
        <w:spacing w:before="120" w:after="0" w:line="360" w:lineRule="auto"/>
        <w:ind w:left="1760" w:leftChars="600" w:hanging="440" w:hangingChars="200"/>
        <w:jc w:val="both"/>
        <w:rPr>
          <w:rFonts w:ascii="Tahoma" w:hAnsi="Tahoma" w:cs="Tahoma"/>
        </w:rPr>
      </w:pPr>
      <w:r>
        <w:rPr>
          <w:rFonts w:ascii="Tahoma" w:hAnsi="Tahoma" w:cs="Tahoma"/>
        </w:rPr>
        <w:t>Kabupaten Lima Puluh Kota</w:t>
      </w:r>
    </w:p>
    <w:p>
      <w:pPr>
        <w:pStyle w:val="30"/>
        <w:spacing w:before="120" w:after="0" w:line="360" w:lineRule="auto"/>
        <w:ind w:left="1100" w:leftChars="300" w:hanging="440" w:hangingChars="200"/>
        <w:jc w:val="both"/>
        <w:rPr>
          <w:rFonts w:ascii="Tahoma" w:hAnsi="Tahoma" w:cs="Tahoma"/>
          <w:b/>
          <w:lang w:val="id-ID"/>
        </w:rPr>
      </w:pPr>
    </w:p>
    <w:p>
      <w:pPr>
        <w:pStyle w:val="30"/>
        <w:numPr>
          <w:ilvl w:val="0"/>
          <w:numId w:val="38"/>
        </w:numPr>
        <w:spacing w:before="120" w:after="0" w:line="360" w:lineRule="auto"/>
        <w:ind w:left="1100" w:leftChars="300" w:hanging="440" w:hangingChars="200"/>
        <w:jc w:val="both"/>
        <w:rPr>
          <w:rFonts w:ascii="Tahoma" w:hAnsi="Tahoma" w:cs="Tahoma"/>
          <w:b/>
          <w:lang w:val="id-ID"/>
        </w:rPr>
      </w:pPr>
      <w:r>
        <w:rPr>
          <w:rFonts w:ascii="Tahoma" w:hAnsi="Tahoma" w:cs="Tahoma"/>
          <w:b/>
          <w:lang w:val="fi-FI"/>
        </w:rPr>
        <w:t>Melakukan pengawasan</w:t>
      </w:r>
      <w:r>
        <w:rPr>
          <w:rFonts w:ascii="Tahoma" w:hAnsi="Tahoma" w:cs="Tahoma"/>
          <w:b/>
          <w:lang w:val="id-ID"/>
        </w:rPr>
        <w:t xml:space="preserve"> yang terdiri dari :</w:t>
      </w:r>
    </w:p>
    <w:p>
      <w:pPr>
        <w:spacing w:after="0" w:line="360" w:lineRule="auto"/>
        <w:ind w:left="1524" w:leftChars="530" w:hanging="358" w:hangingChars="163"/>
        <w:jc w:val="both"/>
        <w:rPr>
          <w:rFonts w:ascii="Tahoma" w:hAnsi="Tahoma" w:cs="Tahoma"/>
          <w:lang w:val="id-ID"/>
        </w:rPr>
      </w:pPr>
      <w:r>
        <w:rPr>
          <w:rFonts w:ascii="Tahoma" w:hAnsi="Tahoma" w:cs="Tahoma"/>
          <w:lang w:val="id-ID"/>
        </w:rPr>
        <w:t xml:space="preserve">- </w:t>
      </w:r>
      <w:r>
        <w:rPr>
          <w:rFonts w:hint="default" w:ascii="Tahoma" w:hAnsi="Tahoma" w:cs="Tahoma"/>
          <w:lang w:val="en-US"/>
        </w:rPr>
        <w:t xml:space="preserve"> </w:t>
      </w:r>
      <w:r>
        <w:rPr>
          <w:rFonts w:ascii="Tahoma" w:hAnsi="Tahoma" w:cs="Tahoma"/>
          <w:lang w:val="fi-FI"/>
        </w:rPr>
        <w:t>Mengintensifkan</w:t>
      </w:r>
      <w:r>
        <w:rPr>
          <w:rFonts w:hint="default" w:ascii="Tahoma" w:hAnsi="Tahoma" w:cs="Tahoma"/>
          <w:lang w:val="en-US"/>
        </w:rPr>
        <w:t xml:space="preserve"> </w:t>
      </w:r>
      <w:r>
        <w:rPr>
          <w:rFonts w:ascii="Tahoma" w:hAnsi="Tahoma" w:cs="Tahoma"/>
          <w:lang w:val="fi-FI"/>
        </w:rPr>
        <w:t>pelaksanaan</w:t>
      </w:r>
      <w:r>
        <w:rPr>
          <w:rFonts w:hint="default" w:ascii="Tahoma" w:hAnsi="Tahoma" w:cs="Tahoma"/>
          <w:lang w:val="en-US"/>
        </w:rPr>
        <w:t xml:space="preserve"> </w:t>
      </w:r>
      <w:r>
        <w:rPr>
          <w:rFonts w:ascii="Tahoma" w:hAnsi="Tahoma" w:cs="Tahoma"/>
          <w:lang w:val="fi-FI"/>
        </w:rPr>
        <w:t xml:space="preserve"> razia bersama dengan instansi kepolisian terhadap kendaraan yang sudah dipindahtangankan untuk membaliknamakan kepemilikan kendaraan yang diadakan diseluruh UPTD.</w:t>
      </w:r>
    </w:p>
    <w:p>
      <w:pPr>
        <w:spacing w:after="0" w:line="360" w:lineRule="auto"/>
        <w:ind w:left="1524" w:leftChars="530" w:hanging="358" w:hangingChars="163"/>
        <w:jc w:val="both"/>
        <w:rPr>
          <w:rFonts w:ascii="Tahoma" w:hAnsi="Tahoma" w:cs="Tahoma"/>
        </w:rPr>
      </w:pPr>
      <w:r>
        <w:rPr>
          <w:rFonts w:ascii="Tahoma" w:hAnsi="Tahoma" w:cs="Tahoma"/>
        </w:rPr>
        <w:t xml:space="preserve">- </w:t>
      </w:r>
      <w:r>
        <w:rPr>
          <w:rFonts w:hint="default" w:ascii="Tahoma" w:hAnsi="Tahoma" w:cs="Tahoma"/>
          <w:lang w:val="en-US"/>
        </w:rPr>
        <w:t xml:space="preserve"> </w:t>
      </w:r>
      <w:r>
        <w:rPr>
          <w:rFonts w:ascii="Tahoma" w:hAnsi="Tahoma" w:cs="Tahoma"/>
        </w:rPr>
        <w:t>Monitoring tata  tertib  administrasi  pemungutan dan penatausahaan di seluruh UPTD.</w:t>
      </w:r>
    </w:p>
    <w:p>
      <w:pPr>
        <w:spacing w:after="0" w:line="360" w:lineRule="auto"/>
        <w:ind w:left="1524" w:leftChars="530" w:hanging="358" w:hangingChars="163"/>
        <w:jc w:val="both"/>
        <w:rPr>
          <w:rFonts w:ascii="Tahoma" w:hAnsi="Tahoma" w:cs="Tahoma"/>
        </w:rPr>
      </w:pPr>
      <w:r>
        <w:rPr>
          <w:rFonts w:ascii="Tahoma" w:hAnsi="Tahoma" w:cs="Tahoma"/>
        </w:rPr>
        <w:t xml:space="preserve">- </w:t>
      </w:r>
      <w:r>
        <w:rPr>
          <w:rFonts w:hint="default" w:ascii="Tahoma" w:hAnsi="Tahoma" w:cs="Tahoma"/>
          <w:lang w:val="en-US"/>
        </w:rPr>
        <w:t xml:space="preserve">   </w:t>
      </w:r>
      <w:r>
        <w:rPr>
          <w:rFonts w:ascii="Tahoma" w:hAnsi="Tahoma" w:cs="Tahoma"/>
        </w:rPr>
        <w:t xml:space="preserve">Mengintensifkan pengiriman Surat </w:t>
      </w:r>
      <w:r>
        <w:rPr>
          <w:rFonts w:ascii="Tahoma" w:hAnsi="Tahoma" w:cs="Tahoma"/>
          <w:lang w:val="fi-FI"/>
        </w:rPr>
        <w:t>Pemberitahuan Pajak Kendaraan Bermotor di masing-masing UPTD/Samsat yang merupakan pemberitahuan kepad</w:t>
      </w:r>
      <w:r>
        <w:rPr>
          <w:rFonts w:ascii="Tahoma" w:hAnsi="Tahoma" w:cs="Tahoma"/>
        </w:rPr>
        <w:t>a wajib pajak satu bulan sebelum tanggal jatuh tempo kendaraannya.</w:t>
      </w:r>
    </w:p>
    <w:p>
      <w:pPr>
        <w:spacing w:after="0" w:line="360" w:lineRule="auto"/>
        <w:ind w:left="1524" w:leftChars="530" w:hanging="358" w:hangingChars="163"/>
        <w:jc w:val="both"/>
        <w:rPr>
          <w:rFonts w:ascii="Tahoma" w:hAnsi="Tahoma" w:cs="Tahoma"/>
          <w:lang w:val="fi-FI"/>
        </w:rPr>
      </w:pPr>
      <w:r>
        <w:rPr>
          <w:rFonts w:ascii="Tahoma" w:hAnsi="Tahoma" w:cs="Tahoma"/>
        </w:rPr>
        <w:t xml:space="preserve">-  </w:t>
      </w:r>
      <w:r>
        <w:rPr>
          <w:rFonts w:hint="default" w:ascii="Tahoma" w:hAnsi="Tahoma" w:cs="Tahoma"/>
          <w:lang w:val="en-US"/>
        </w:rPr>
        <w:t xml:space="preserve"> </w:t>
      </w:r>
      <w:r>
        <w:rPr>
          <w:rFonts w:ascii="Tahoma" w:hAnsi="Tahoma" w:cs="Tahoma"/>
        </w:rPr>
        <w:t>Mengintensifkan   p</w:t>
      </w:r>
      <w:r>
        <w:rPr>
          <w:rFonts w:ascii="Tahoma" w:hAnsi="Tahoma" w:cs="Tahoma"/>
          <w:lang w:val="fi-FI"/>
        </w:rPr>
        <w:t>engiriman</w:t>
      </w:r>
      <w:r>
        <w:rPr>
          <w:rFonts w:hint="default" w:ascii="Tahoma" w:hAnsi="Tahoma" w:cs="Tahoma"/>
          <w:lang w:val="en-US"/>
        </w:rPr>
        <w:t xml:space="preserve"> </w:t>
      </w:r>
      <w:r>
        <w:rPr>
          <w:rFonts w:ascii="Tahoma" w:hAnsi="Tahoma" w:cs="Tahoma"/>
          <w:lang w:val="fi-FI"/>
        </w:rPr>
        <w:t xml:space="preserve"> Surat</w:t>
      </w:r>
      <w:r>
        <w:rPr>
          <w:rFonts w:hint="default" w:ascii="Tahoma" w:hAnsi="Tahoma" w:cs="Tahoma"/>
          <w:lang w:val="en-US"/>
        </w:rPr>
        <w:t xml:space="preserve"> </w:t>
      </w:r>
      <w:r>
        <w:rPr>
          <w:rFonts w:ascii="Tahoma" w:hAnsi="Tahoma" w:cs="Tahoma"/>
          <w:lang w:val="fi-FI"/>
        </w:rPr>
        <w:t xml:space="preserve"> Peringatan </w:t>
      </w:r>
      <w:r>
        <w:rPr>
          <w:rFonts w:hint="default" w:ascii="Tahoma" w:hAnsi="Tahoma" w:cs="Tahoma"/>
          <w:lang w:val="en-US"/>
        </w:rPr>
        <w:t xml:space="preserve"> </w:t>
      </w:r>
      <w:r>
        <w:rPr>
          <w:rFonts w:ascii="Tahoma" w:hAnsi="Tahoma" w:cs="Tahoma"/>
          <w:lang w:val="fi-FI"/>
        </w:rPr>
        <w:t>Pajak</w:t>
      </w:r>
      <w:r>
        <w:rPr>
          <w:rFonts w:hint="default" w:ascii="Tahoma" w:hAnsi="Tahoma" w:cs="Tahoma"/>
          <w:lang w:val="en-US"/>
        </w:rPr>
        <w:t xml:space="preserve">  </w:t>
      </w:r>
      <w:r>
        <w:rPr>
          <w:rFonts w:ascii="Tahoma" w:hAnsi="Tahoma" w:cs="Tahoma"/>
          <w:lang w:val="fi-FI"/>
        </w:rPr>
        <w:t xml:space="preserve">Daerah di masing-masing UPTD/Samsat, yaitu memberikan peringatan kepada wajib pajak agar </w:t>
      </w:r>
    </w:p>
    <w:p>
      <w:pPr>
        <w:spacing w:after="0" w:line="360" w:lineRule="auto"/>
        <w:ind w:left="1540" w:leftChars="700"/>
        <w:jc w:val="both"/>
        <w:rPr>
          <w:rFonts w:ascii="Tahoma" w:hAnsi="Tahoma" w:cs="Tahoma"/>
        </w:rPr>
      </w:pPr>
      <w:r>
        <w:rPr>
          <w:rFonts w:ascii="Tahoma" w:hAnsi="Tahoma" w:cs="Tahoma"/>
          <w:lang w:val="fi-FI"/>
        </w:rPr>
        <w:t>membayar pajak yang telah jatuh tempo</w:t>
      </w:r>
      <w:r>
        <w:rPr>
          <w:rFonts w:ascii="Tahoma" w:hAnsi="Tahoma" w:cs="Tahoma"/>
        </w:rPr>
        <w:t>.</w:t>
      </w:r>
    </w:p>
    <w:p>
      <w:pPr>
        <w:spacing w:after="0" w:line="360" w:lineRule="auto"/>
        <w:ind w:left="1524" w:leftChars="530" w:hanging="358" w:hangingChars="163"/>
        <w:jc w:val="both"/>
        <w:rPr>
          <w:rFonts w:ascii="Tahoma" w:hAnsi="Tahoma" w:cs="Tahoma"/>
        </w:rPr>
      </w:pPr>
      <w:r>
        <w:rPr>
          <w:rFonts w:ascii="Tahoma" w:hAnsi="Tahoma" w:cs="Tahoma"/>
        </w:rPr>
        <w:t xml:space="preserve">-  </w:t>
      </w:r>
      <w:r>
        <w:rPr>
          <w:rFonts w:hint="default" w:ascii="Tahoma" w:hAnsi="Tahoma" w:cs="Tahoma"/>
          <w:lang w:val="en-US"/>
        </w:rPr>
        <w:t xml:space="preserve"> </w:t>
      </w:r>
      <w:r>
        <w:rPr>
          <w:rFonts w:ascii="Tahoma" w:hAnsi="Tahoma" w:cs="Tahoma"/>
        </w:rPr>
        <w:t xml:space="preserve">Melakukan  sosialisasi  melalui  </w:t>
      </w:r>
      <w:r>
        <w:rPr>
          <w:rFonts w:ascii="Tahoma" w:hAnsi="Tahoma" w:cs="Tahoma"/>
          <w:i/>
          <w:iCs/>
        </w:rPr>
        <w:t>mass media</w:t>
      </w:r>
      <w:r>
        <w:rPr>
          <w:rFonts w:ascii="Tahoma" w:hAnsi="Tahoma" w:cs="Tahoma"/>
        </w:rPr>
        <w:t>,  brosur,  spanduk,  serta papan reklame.</w:t>
      </w:r>
    </w:p>
    <w:p>
      <w:pPr>
        <w:spacing w:after="0" w:line="360" w:lineRule="auto"/>
        <w:ind w:left="1524" w:leftChars="530" w:hanging="358" w:hangingChars="163"/>
        <w:jc w:val="both"/>
        <w:rPr>
          <w:rFonts w:ascii="Tahoma" w:hAnsi="Tahoma" w:cs="Tahoma"/>
          <w:color w:val="000000"/>
          <w:lang w:val="id-ID"/>
        </w:rPr>
      </w:pPr>
      <w:r>
        <w:rPr>
          <w:rFonts w:ascii="Tahoma" w:hAnsi="Tahoma" w:cs="Tahoma"/>
        </w:rPr>
        <w:t xml:space="preserve">-  </w:t>
      </w:r>
      <w:r>
        <w:rPr>
          <w:rFonts w:hint="default" w:ascii="Tahoma" w:hAnsi="Tahoma" w:cs="Tahoma"/>
          <w:lang w:val="en-US"/>
        </w:rPr>
        <w:t xml:space="preserve"> </w:t>
      </w:r>
      <w:r>
        <w:rPr>
          <w:rFonts w:ascii="Tahoma" w:hAnsi="Tahoma" w:cs="Tahoma"/>
        </w:rPr>
        <w:t>Memaksimalkan  penerapan  aplikasi  e-Samsat  untuk   kemudahan  dalam monitoring penerimaan dari layanan masyarakat (wajib pajak).</w:t>
      </w:r>
    </w:p>
    <w:p>
      <w:pPr>
        <w:pStyle w:val="20"/>
        <w:numPr>
          <w:ilvl w:val="0"/>
          <w:numId w:val="0"/>
        </w:numPr>
        <w:spacing w:before="120" w:line="360" w:lineRule="auto"/>
        <w:ind w:left="851"/>
        <w:jc w:val="both"/>
        <w:rPr>
          <w:rFonts w:ascii="Tahoma" w:hAnsi="Tahoma" w:cs="Tahoma"/>
          <w:b w:val="0"/>
          <w:bCs w:val="0"/>
          <w:color w:val="000000"/>
          <w:sz w:val="22"/>
          <w:szCs w:val="22"/>
          <w:lang w:val="id-ID"/>
        </w:rPr>
      </w:pPr>
      <w:r>
        <w:rPr>
          <w:rFonts w:ascii="Tahoma" w:hAnsi="Tahoma" w:cs="Tahoma"/>
          <w:b w:val="0"/>
          <w:bCs w:val="0"/>
          <w:color w:val="000000"/>
          <w:sz w:val="22"/>
          <w:szCs w:val="22"/>
          <w:lang w:val="id-ID"/>
        </w:rPr>
        <w:t>Sampai saat ini Pendapatan Asli Daerah masih didominasi oleh Pajak Daerah. Hal ini dapat dilihat pada tabel dibawah ini.</w:t>
      </w:r>
    </w:p>
    <w:p>
      <w:pPr>
        <w:pStyle w:val="20"/>
        <w:numPr>
          <w:ilvl w:val="0"/>
          <w:numId w:val="0"/>
        </w:numPr>
        <w:jc w:val="both"/>
        <w:rPr>
          <w:rFonts w:ascii="Tahoma" w:hAnsi="Tahoma" w:cs="Tahoma"/>
          <w:b w:val="0"/>
          <w:bCs w:val="0"/>
          <w:color w:val="000000"/>
          <w:sz w:val="22"/>
          <w:szCs w:val="22"/>
          <w:lang w:val="id-ID"/>
        </w:rPr>
      </w:pPr>
    </w:p>
    <w:p>
      <w:pPr>
        <w:pStyle w:val="20"/>
        <w:numPr>
          <w:ilvl w:val="0"/>
          <w:numId w:val="0"/>
        </w:numPr>
        <w:spacing w:afterLines="50"/>
        <w:ind w:left="1264"/>
        <w:rPr>
          <w:rFonts w:hint="default" w:ascii="Tahoma" w:hAnsi="Tahoma" w:cs="Tahoma"/>
          <w:color w:val="000000"/>
          <w:sz w:val="22"/>
          <w:szCs w:val="22"/>
          <w:lang w:val="en-US"/>
        </w:rPr>
      </w:pPr>
      <w:r>
        <w:rPr>
          <w:rFonts w:ascii="Tahoma" w:hAnsi="Tahoma" w:cs="Tahoma"/>
          <w:color w:val="000000"/>
          <w:sz w:val="22"/>
          <w:szCs w:val="22"/>
          <w:lang w:val="id-ID"/>
        </w:rPr>
        <w:t xml:space="preserve">Tabel </w:t>
      </w:r>
      <w:r>
        <w:rPr>
          <w:rFonts w:hint="default" w:ascii="Tahoma" w:hAnsi="Tahoma" w:cs="Tahoma"/>
          <w:color w:val="000000"/>
          <w:sz w:val="22"/>
          <w:szCs w:val="22"/>
          <w:lang w:val="en-US"/>
        </w:rPr>
        <w:t>3.9</w:t>
      </w:r>
    </w:p>
    <w:p>
      <w:pPr>
        <w:pStyle w:val="20"/>
        <w:numPr>
          <w:ilvl w:val="0"/>
          <w:numId w:val="0"/>
        </w:numPr>
        <w:ind w:left="1264"/>
        <w:rPr>
          <w:rFonts w:ascii="Tahoma" w:hAnsi="Tahoma" w:cs="Tahoma"/>
          <w:color w:val="000000"/>
          <w:sz w:val="22"/>
          <w:szCs w:val="22"/>
          <w:lang w:val="id-ID"/>
        </w:rPr>
      </w:pPr>
      <w:r>
        <w:rPr>
          <w:rFonts w:ascii="Tahoma" w:hAnsi="Tahoma" w:cs="Tahoma"/>
          <w:color w:val="000000"/>
          <w:sz w:val="22"/>
          <w:szCs w:val="22"/>
          <w:lang w:val="id-ID"/>
        </w:rPr>
        <w:t xml:space="preserve">Perkembangan Realisasi Pajak Daerah </w:t>
      </w:r>
      <w:r>
        <w:rPr>
          <w:rFonts w:ascii="Tahoma" w:hAnsi="Tahoma" w:cs="Tahoma"/>
          <w:color w:val="000000"/>
          <w:sz w:val="22"/>
          <w:szCs w:val="22"/>
        </w:rPr>
        <w:t>T</w:t>
      </w:r>
      <w:r>
        <w:rPr>
          <w:rFonts w:ascii="Tahoma" w:hAnsi="Tahoma" w:cs="Tahoma"/>
          <w:color w:val="000000"/>
          <w:sz w:val="22"/>
          <w:szCs w:val="22"/>
          <w:lang w:val="id-ID"/>
        </w:rPr>
        <w:t>ahun 20</w:t>
      </w:r>
      <w:r>
        <w:rPr>
          <w:rFonts w:ascii="Tahoma" w:hAnsi="Tahoma" w:cs="Tahoma"/>
          <w:color w:val="000000"/>
          <w:sz w:val="22"/>
          <w:szCs w:val="22"/>
        </w:rPr>
        <w:t>16</w:t>
      </w:r>
      <w:r>
        <w:rPr>
          <w:rFonts w:ascii="Tahoma" w:hAnsi="Tahoma" w:cs="Tahoma"/>
          <w:color w:val="000000"/>
          <w:sz w:val="22"/>
          <w:szCs w:val="22"/>
          <w:lang w:val="id-ID"/>
        </w:rPr>
        <w:t>-2020</w:t>
      </w:r>
    </w:p>
    <w:p>
      <w:pPr>
        <w:pStyle w:val="20"/>
        <w:numPr>
          <w:ilvl w:val="0"/>
          <w:numId w:val="0"/>
        </w:numPr>
        <w:ind w:left="1264"/>
        <w:rPr>
          <w:rFonts w:ascii="Tahoma" w:hAnsi="Tahoma" w:cs="Tahoma"/>
          <w:color w:val="000000"/>
          <w:sz w:val="22"/>
          <w:szCs w:val="22"/>
          <w:lang w:val="id-ID"/>
        </w:rPr>
      </w:pPr>
    </w:p>
    <w:tbl>
      <w:tblPr>
        <w:tblStyle w:val="7"/>
        <w:tblW w:w="0" w:type="auto"/>
        <w:tblInd w:w="12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93"/>
        <w:gridCol w:w="2752"/>
        <w:gridCol w:w="29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93" w:type="dxa"/>
            <w:shd w:val="clear" w:color="auto" w:fill="DDD9C3"/>
          </w:tcPr>
          <w:p>
            <w:pPr>
              <w:pStyle w:val="20"/>
              <w:numPr>
                <w:ilvl w:val="0"/>
                <w:numId w:val="0"/>
              </w:numPr>
              <w:rPr>
                <w:rFonts w:ascii="Tahoma" w:hAnsi="Tahoma" w:cs="Tahoma"/>
                <w:b w:val="0"/>
                <w:color w:val="000000"/>
                <w:sz w:val="22"/>
                <w:szCs w:val="22"/>
                <w:lang w:val="id-ID"/>
              </w:rPr>
            </w:pPr>
            <w:r>
              <w:rPr>
                <w:rFonts w:ascii="Tahoma" w:hAnsi="Tahoma" w:cs="Tahoma"/>
                <w:b w:val="0"/>
                <w:color w:val="000000"/>
                <w:sz w:val="22"/>
                <w:szCs w:val="22"/>
                <w:lang w:val="id-ID"/>
              </w:rPr>
              <w:t>Tahun</w:t>
            </w:r>
          </w:p>
        </w:tc>
        <w:tc>
          <w:tcPr>
            <w:tcW w:w="2752" w:type="dxa"/>
            <w:shd w:val="clear" w:color="auto" w:fill="DDD9C3"/>
          </w:tcPr>
          <w:p>
            <w:pPr>
              <w:pStyle w:val="20"/>
              <w:numPr>
                <w:ilvl w:val="0"/>
                <w:numId w:val="0"/>
              </w:numPr>
              <w:rPr>
                <w:rFonts w:ascii="Tahoma" w:hAnsi="Tahoma" w:cs="Tahoma"/>
                <w:b w:val="0"/>
                <w:color w:val="000000"/>
                <w:sz w:val="22"/>
                <w:szCs w:val="22"/>
                <w:lang w:val="id-ID"/>
              </w:rPr>
            </w:pPr>
            <w:r>
              <w:rPr>
                <w:rFonts w:ascii="Tahoma" w:hAnsi="Tahoma" w:cs="Tahoma"/>
                <w:b w:val="0"/>
                <w:color w:val="000000"/>
                <w:sz w:val="22"/>
                <w:szCs w:val="22"/>
                <w:lang w:val="id-ID"/>
              </w:rPr>
              <w:t>Realisasi</w:t>
            </w:r>
          </w:p>
        </w:tc>
        <w:tc>
          <w:tcPr>
            <w:tcW w:w="2977" w:type="dxa"/>
            <w:shd w:val="clear" w:color="auto" w:fill="DDD9C3"/>
          </w:tcPr>
          <w:p>
            <w:pPr>
              <w:pStyle w:val="20"/>
              <w:numPr>
                <w:ilvl w:val="0"/>
                <w:numId w:val="0"/>
              </w:numPr>
              <w:rPr>
                <w:rFonts w:ascii="Tahoma" w:hAnsi="Tahoma" w:cs="Tahoma"/>
                <w:b w:val="0"/>
                <w:color w:val="000000"/>
                <w:sz w:val="22"/>
                <w:szCs w:val="22"/>
                <w:lang w:val="id-ID"/>
              </w:rPr>
            </w:pPr>
            <w:r>
              <w:rPr>
                <w:rFonts w:ascii="Tahoma" w:hAnsi="Tahoma" w:cs="Tahoma"/>
                <w:b w:val="0"/>
                <w:color w:val="000000"/>
                <w:sz w:val="22"/>
                <w:szCs w:val="22"/>
              </w:rPr>
              <w:t>Perbandingan peningkatan  realisasi pajak daerah dari tahun sebelumnya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93" w:type="dxa"/>
          </w:tcPr>
          <w:p>
            <w:pPr>
              <w:pStyle w:val="20"/>
              <w:numPr>
                <w:ilvl w:val="0"/>
                <w:numId w:val="0"/>
              </w:numPr>
              <w:rPr>
                <w:rFonts w:ascii="Tahoma" w:hAnsi="Tahoma" w:cs="Tahoma"/>
                <w:b w:val="0"/>
                <w:sz w:val="22"/>
                <w:szCs w:val="22"/>
                <w:lang w:val="id-ID"/>
              </w:rPr>
            </w:pPr>
            <w:r>
              <w:rPr>
                <w:rFonts w:ascii="Tahoma" w:hAnsi="Tahoma" w:cs="Tahoma"/>
                <w:b w:val="0"/>
                <w:sz w:val="22"/>
                <w:szCs w:val="22"/>
                <w:lang w:val="id-ID"/>
              </w:rPr>
              <w:t>2016</w:t>
            </w:r>
          </w:p>
        </w:tc>
        <w:tc>
          <w:tcPr>
            <w:tcW w:w="2752" w:type="dxa"/>
          </w:tcPr>
          <w:p>
            <w:pPr>
              <w:pStyle w:val="20"/>
              <w:numPr>
                <w:ilvl w:val="0"/>
                <w:numId w:val="0"/>
              </w:numPr>
              <w:rPr>
                <w:rFonts w:ascii="Tahoma" w:hAnsi="Tahoma" w:cs="Tahoma"/>
                <w:b w:val="0"/>
                <w:sz w:val="22"/>
                <w:szCs w:val="22"/>
              </w:rPr>
            </w:pPr>
            <w:r>
              <w:rPr>
                <w:rFonts w:ascii="Tahoma" w:hAnsi="Tahoma" w:cs="Tahoma"/>
                <w:b w:val="0"/>
                <w:sz w:val="22"/>
                <w:szCs w:val="22"/>
                <w:lang w:val="id-ID"/>
              </w:rPr>
              <w:t>1.522.119.229.710</w:t>
            </w:r>
            <w:r>
              <w:rPr>
                <w:rFonts w:ascii="Tahoma" w:hAnsi="Tahoma" w:cs="Tahoma"/>
                <w:b w:val="0"/>
                <w:sz w:val="22"/>
                <w:szCs w:val="22"/>
              </w:rPr>
              <w:t>,59</w:t>
            </w:r>
          </w:p>
        </w:tc>
        <w:tc>
          <w:tcPr>
            <w:tcW w:w="2977" w:type="dxa"/>
          </w:tcPr>
          <w:p>
            <w:pPr>
              <w:pStyle w:val="20"/>
              <w:numPr>
                <w:ilvl w:val="0"/>
                <w:numId w:val="0"/>
              </w:numPr>
              <w:rPr>
                <w:rFonts w:ascii="Tahoma" w:hAnsi="Tahoma" w:cs="Tahoma"/>
                <w:b w:val="0"/>
                <w:sz w:val="22"/>
                <w:szCs w:val="22"/>
                <w:lang w:val="id-ID"/>
              </w:rPr>
            </w:pPr>
            <w:r>
              <w:rPr>
                <w:rFonts w:ascii="Tahoma" w:hAnsi="Tahoma" w:cs="Tahoma"/>
                <w:b w:val="0"/>
                <w:sz w:val="22"/>
                <w:szCs w:val="22"/>
                <w:lang w:val="id-ID"/>
              </w:rPr>
              <w:t>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93" w:type="dxa"/>
          </w:tcPr>
          <w:p>
            <w:pPr>
              <w:pStyle w:val="20"/>
              <w:numPr>
                <w:ilvl w:val="0"/>
                <w:numId w:val="0"/>
              </w:numPr>
              <w:rPr>
                <w:rFonts w:ascii="Tahoma" w:hAnsi="Tahoma" w:cs="Tahoma"/>
                <w:b w:val="0"/>
                <w:sz w:val="22"/>
                <w:szCs w:val="22"/>
                <w:lang w:val="id-ID"/>
              </w:rPr>
            </w:pPr>
            <w:r>
              <w:rPr>
                <w:rFonts w:ascii="Tahoma" w:hAnsi="Tahoma" w:cs="Tahoma"/>
                <w:b w:val="0"/>
                <w:sz w:val="22"/>
                <w:szCs w:val="22"/>
                <w:lang w:val="id-ID"/>
              </w:rPr>
              <w:t>2017</w:t>
            </w:r>
          </w:p>
        </w:tc>
        <w:tc>
          <w:tcPr>
            <w:tcW w:w="2752" w:type="dxa"/>
          </w:tcPr>
          <w:p>
            <w:pPr>
              <w:pStyle w:val="20"/>
              <w:numPr>
                <w:ilvl w:val="0"/>
                <w:numId w:val="0"/>
              </w:numPr>
              <w:rPr>
                <w:rFonts w:ascii="Tahoma" w:hAnsi="Tahoma" w:cs="Tahoma"/>
                <w:b w:val="0"/>
                <w:sz w:val="22"/>
                <w:szCs w:val="22"/>
              </w:rPr>
            </w:pPr>
            <w:r>
              <w:rPr>
                <w:rFonts w:ascii="Tahoma" w:hAnsi="Tahoma" w:cs="Tahoma"/>
                <w:b w:val="0"/>
                <w:sz w:val="22"/>
                <w:szCs w:val="22"/>
                <w:lang w:val="id-ID"/>
              </w:rPr>
              <w:t>1.626.923.373.074</w:t>
            </w:r>
            <w:r>
              <w:rPr>
                <w:rFonts w:ascii="Tahoma" w:hAnsi="Tahoma" w:cs="Tahoma"/>
                <w:b w:val="0"/>
                <w:sz w:val="22"/>
                <w:szCs w:val="22"/>
              </w:rPr>
              <w:t>,36</w:t>
            </w:r>
          </w:p>
        </w:tc>
        <w:tc>
          <w:tcPr>
            <w:tcW w:w="2977" w:type="dxa"/>
          </w:tcPr>
          <w:p>
            <w:pPr>
              <w:pStyle w:val="20"/>
              <w:numPr>
                <w:ilvl w:val="0"/>
                <w:numId w:val="0"/>
              </w:numPr>
              <w:rPr>
                <w:rFonts w:ascii="Tahoma" w:hAnsi="Tahoma" w:cs="Tahoma"/>
                <w:b w:val="0"/>
                <w:sz w:val="22"/>
                <w:szCs w:val="22"/>
                <w:lang w:val="id-ID"/>
              </w:rPr>
            </w:pPr>
            <w:r>
              <w:rPr>
                <w:rFonts w:ascii="Tahoma" w:hAnsi="Tahoma" w:cs="Tahoma"/>
                <w:b w:val="0"/>
                <w:sz w:val="22"/>
                <w:szCs w:val="22"/>
              </w:rPr>
              <w:t>6,89</w:t>
            </w:r>
            <w:r>
              <w:rPr>
                <w:rFonts w:ascii="Tahoma" w:hAnsi="Tahoma" w:cs="Tahoma"/>
                <w:b w:val="0"/>
                <w:sz w:val="22"/>
                <w:szCs w:val="22"/>
                <w:lang w:val="id-ID"/>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93" w:type="dxa"/>
          </w:tcPr>
          <w:p>
            <w:pPr>
              <w:pStyle w:val="20"/>
              <w:numPr>
                <w:ilvl w:val="0"/>
                <w:numId w:val="0"/>
              </w:numPr>
              <w:rPr>
                <w:rFonts w:ascii="Tahoma" w:hAnsi="Tahoma" w:cs="Tahoma"/>
                <w:b w:val="0"/>
                <w:sz w:val="22"/>
                <w:szCs w:val="22"/>
                <w:lang w:val="id-ID"/>
              </w:rPr>
            </w:pPr>
            <w:r>
              <w:rPr>
                <w:rFonts w:ascii="Tahoma" w:hAnsi="Tahoma" w:cs="Tahoma"/>
                <w:b w:val="0"/>
                <w:sz w:val="22"/>
                <w:szCs w:val="22"/>
                <w:lang w:val="id-ID"/>
              </w:rPr>
              <w:t>2018</w:t>
            </w:r>
          </w:p>
        </w:tc>
        <w:tc>
          <w:tcPr>
            <w:tcW w:w="2752" w:type="dxa"/>
          </w:tcPr>
          <w:p>
            <w:pPr>
              <w:pStyle w:val="20"/>
              <w:numPr>
                <w:ilvl w:val="0"/>
                <w:numId w:val="0"/>
              </w:numPr>
              <w:rPr>
                <w:rFonts w:ascii="Tahoma" w:hAnsi="Tahoma" w:cs="Tahoma"/>
                <w:b w:val="0"/>
                <w:sz w:val="22"/>
                <w:szCs w:val="22"/>
              </w:rPr>
            </w:pPr>
            <w:r>
              <w:rPr>
                <w:rFonts w:ascii="Tahoma" w:hAnsi="Tahoma" w:cs="Tahoma"/>
                <w:b w:val="0"/>
                <w:sz w:val="22"/>
                <w:szCs w:val="22"/>
                <w:lang w:val="id-ID"/>
              </w:rPr>
              <w:t>1.797.677.158.644</w:t>
            </w:r>
            <w:r>
              <w:rPr>
                <w:rFonts w:ascii="Tahoma" w:hAnsi="Tahoma" w:cs="Tahoma"/>
                <w:b w:val="0"/>
                <w:sz w:val="22"/>
                <w:szCs w:val="22"/>
              </w:rPr>
              <w:t>,93</w:t>
            </w:r>
          </w:p>
        </w:tc>
        <w:tc>
          <w:tcPr>
            <w:tcW w:w="2977" w:type="dxa"/>
          </w:tcPr>
          <w:p>
            <w:pPr>
              <w:pStyle w:val="20"/>
              <w:numPr>
                <w:ilvl w:val="0"/>
                <w:numId w:val="0"/>
              </w:numPr>
              <w:rPr>
                <w:rFonts w:ascii="Tahoma" w:hAnsi="Tahoma" w:cs="Tahoma"/>
                <w:b w:val="0"/>
                <w:sz w:val="22"/>
                <w:szCs w:val="22"/>
                <w:lang w:val="id-ID"/>
              </w:rPr>
            </w:pPr>
            <w:r>
              <w:rPr>
                <w:rFonts w:ascii="Tahoma" w:hAnsi="Tahoma" w:cs="Tahoma"/>
                <w:b w:val="0"/>
                <w:sz w:val="22"/>
                <w:szCs w:val="22"/>
                <w:lang w:val="id-ID"/>
              </w:rPr>
              <w:t>10,50%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93" w:type="dxa"/>
          </w:tcPr>
          <w:p>
            <w:pPr>
              <w:pStyle w:val="20"/>
              <w:numPr>
                <w:ilvl w:val="0"/>
                <w:numId w:val="0"/>
              </w:numPr>
              <w:rPr>
                <w:rFonts w:ascii="Tahoma" w:hAnsi="Tahoma" w:cs="Tahoma"/>
                <w:b w:val="0"/>
                <w:sz w:val="22"/>
                <w:szCs w:val="22"/>
                <w:lang w:val="id-ID"/>
              </w:rPr>
            </w:pPr>
            <w:r>
              <w:rPr>
                <w:rFonts w:ascii="Tahoma" w:hAnsi="Tahoma" w:cs="Tahoma"/>
                <w:b w:val="0"/>
                <w:sz w:val="22"/>
                <w:szCs w:val="22"/>
                <w:lang w:val="id-ID"/>
              </w:rPr>
              <w:t>2019</w:t>
            </w:r>
          </w:p>
        </w:tc>
        <w:tc>
          <w:tcPr>
            <w:tcW w:w="2752" w:type="dxa"/>
          </w:tcPr>
          <w:p>
            <w:pPr>
              <w:pStyle w:val="20"/>
              <w:numPr>
                <w:ilvl w:val="0"/>
                <w:numId w:val="0"/>
              </w:numPr>
              <w:rPr>
                <w:rFonts w:ascii="Tahoma" w:hAnsi="Tahoma" w:cs="Tahoma"/>
                <w:b w:val="0"/>
                <w:sz w:val="22"/>
                <w:szCs w:val="22"/>
              </w:rPr>
            </w:pPr>
            <w:r>
              <w:rPr>
                <w:rFonts w:ascii="Tahoma" w:hAnsi="Tahoma" w:cs="Tahoma"/>
                <w:b w:val="0"/>
                <w:sz w:val="22"/>
                <w:szCs w:val="22"/>
                <w:lang w:val="id-ID"/>
              </w:rPr>
              <w:t>1.872.933.990.718</w:t>
            </w:r>
            <w:r>
              <w:rPr>
                <w:rFonts w:ascii="Tahoma" w:hAnsi="Tahoma" w:cs="Tahoma"/>
                <w:b w:val="0"/>
                <w:sz w:val="22"/>
                <w:szCs w:val="22"/>
              </w:rPr>
              <w:t>,00</w:t>
            </w:r>
          </w:p>
        </w:tc>
        <w:tc>
          <w:tcPr>
            <w:tcW w:w="2977" w:type="dxa"/>
          </w:tcPr>
          <w:p>
            <w:pPr>
              <w:pStyle w:val="20"/>
              <w:numPr>
                <w:ilvl w:val="0"/>
                <w:numId w:val="0"/>
              </w:numPr>
              <w:rPr>
                <w:rFonts w:ascii="Tahoma" w:hAnsi="Tahoma" w:cs="Tahoma"/>
                <w:b w:val="0"/>
                <w:sz w:val="22"/>
                <w:szCs w:val="22"/>
              </w:rPr>
            </w:pPr>
            <w:r>
              <w:rPr>
                <w:rFonts w:ascii="Tahoma" w:hAnsi="Tahoma" w:cs="Tahoma"/>
                <w:b w:val="0"/>
                <w:sz w:val="22"/>
                <w:szCs w:val="22"/>
              </w:rPr>
              <w:t>4,19%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93" w:type="dxa"/>
          </w:tcPr>
          <w:p>
            <w:pPr>
              <w:pStyle w:val="20"/>
              <w:numPr>
                <w:ilvl w:val="0"/>
                <w:numId w:val="0"/>
              </w:numPr>
              <w:rPr>
                <w:rFonts w:ascii="Tahoma" w:hAnsi="Tahoma" w:cs="Tahoma"/>
                <w:b w:val="0"/>
                <w:sz w:val="22"/>
                <w:szCs w:val="22"/>
                <w:lang w:val="id-ID"/>
              </w:rPr>
            </w:pPr>
            <w:r>
              <w:rPr>
                <w:rFonts w:ascii="Tahoma" w:hAnsi="Tahoma" w:cs="Tahoma"/>
                <w:b w:val="0"/>
                <w:sz w:val="22"/>
                <w:szCs w:val="22"/>
                <w:lang w:val="id-ID"/>
              </w:rPr>
              <w:t>2020</w:t>
            </w:r>
          </w:p>
        </w:tc>
        <w:tc>
          <w:tcPr>
            <w:tcW w:w="2752" w:type="dxa"/>
          </w:tcPr>
          <w:p>
            <w:pPr>
              <w:pStyle w:val="20"/>
              <w:numPr>
                <w:ilvl w:val="0"/>
                <w:numId w:val="0"/>
              </w:numPr>
              <w:rPr>
                <w:rFonts w:ascii="Tahoma" w:hAnsi="Tahoma" w:cs="Tahoma"/>
                <w:b w:val="0"/>
                <w:sz w:val="22"/>
                <w:szCs w:val="22"/>
              </w:rPr>
            </w:pPr>
            <w:r>
              <w:rPr>
                <w:rFonts w:ascii="Tahoma" w:hAnsi="Tahoma" w:cs="Tahoma"/>
                <w:b w:val="0"/>
                <w:sz w:val="22"/>
                <w:szCs w:val="22"/>
              </w:rPr>
              <w:t>1.809.807.023.047,00</w:t>
            </w:r>
          </w:p>
        </w:tc>
        <w:tc>
          <w:tcPr>
            <w:tcW w:w="2977" w:type="dxa"/>
          </w:tcPr>
          <w:p>
            <w:pPr>
              <w:pStyle w:val="20"/>
              <w:numPr>
                <w:ilvl w:val="0"/>
                <w:numId w:val="0"/>
              </w:numPr>
              <w:rPr>
                <w:rFonts w:ascii="Tahoma" w:hAnsi="Tahoma" w:cs="Tahoma"/>
                <w:b w:val="0"/>
                <w:sz w:val="22"/>
                <w:szCs w:val="22"/>
              </w:rPr>
            </w:pPr>
            <w:r>
              <w:rPr>
                <w:rFonts w:ascii="Tahoma" w:hAnsi="Tahoma" w:cs="Tahoma"/>
                <w:b w:val="0"/>
                <w:sz w:val="22"/>
                <w:szCs w:val="22"/>
              </w:rPr>
              <w:t>-3,37%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45" w:type="dxa"/>
            <w:gridSpan w:val="2"/>
          </w:tcPr>
          <w:p>
            <w:pPr>
              <w:pStyle w:val="20"/>
              <w:numPr>
                <w:ilvl w:val="0"/>
                <w:numId w:val="0"/>
              </w:numPr>
              <w:rPr>
                <w:rFonts w:ascii="Tahoma" w:hAnsi="Tahoma" w:cs="Tahoma"/>
                <w:b w:val="0"/>
                <w:sz w:val="22"/>
                <w:szCs w:val="22"/>
                <w:lang w:val="id-ID"/>
              </w:rPr>
            </w:pPr>
            <w:r>
              <w:rPr>
                <w:rFonts w:ascii="Tahoma" w:hAnsi="Tahoma" w:cs="Tahoma"/>
                <w:b w:val="0"/>
                <w:sz w:val="22"/>
                <w:szCs w:val="22"/>
                <w:lang w:val="id-ID"/>
              </w:rPr>
              <w:t>Rata – rata</w:t>
            </w:r>
          </w:p>
        </w:tc>
        <w:tc>
          <w:tcPr>
            <w:tcW w:w="2977" w:type="dxa"/>
          </w:tcPr>
          <w:p>
            <w:pPr>
              <w:pStyle w:val="20"/>
              <w:numPr>
                <w:ilvl w:val="0"/>
                <w:numId w:val="0"/>
              </w:numPr>
              <w:rPr>
                <w:rFonts w:ascii="Tahoma" w:hAnsi="Tahoma" w:cs="Tahoma"/>
                <w:b w:val="0"/>
                <w:sz w:val="22"/>
                <w:szCs w:val="22"/>
                <w:lang w:val="id-ID"/>
              </w:rPr>
            </w:pPr>
            <w:r>
              <w:rPr>
                <w:rFonts w:ascii="Tahoma" w:hAnsi="Tahoma" w:cs="Tahoma"/>
                <w:b w:val="0"/>
                <w:sz w:val="22"/>
                <w:szCs w:val="22"/>
              </w:rPr>
              <w:t>4,70</w:t>
            </w:r>
            <w:r>
              <w:rPr>
                <w:rFonts w:ascii="Tahoma" w:hAnsi="Tahoma" w:cs="Tahoma"/>
                <w:b w:val="0"/>
                <w:sz w:val="22"/>
                <w:szCs w:val="22"/>
                <w:lang w:val="id-ID"/>
              </w:rPr>
              <w:t>%</w:t>
            </w:r>
          </w:p>
        </w:tc>
      </w:tr>
    </w:tbl>
    <w:p>
      <w:pPr>
        <w:pStyle w:val="20"/>
        <w:numPr>
          <w:ilvl w:val="0"/>
          <w:numId w:val="0"/>
        </w:numPr>
        <w:ind w:left="880" w:leftChars="400"/>
        <w:rPr>
          <w:rFonts w:ascii="Tahoma" w:hAnsi="Tahoma" w:cs="Tahoma"/>
          <w:color w:val="000000"/>
          <w:sz w:val="22"/>
          <w:szCs w:val="22"/>
        </w:rPr>
      </w:pPr>
      <w:r>
        <w:rPr>
          <w:rFonts w:ascii="Tahoma" w:hAnsi="Tahoma" w:cs="Tahoma"/>
          <w:color w:val="000000"/>
          <w:sz w:val="22"/>
          <w:szCs w:val="22"/>
          <w:lang w:val="id-ID"/>
        </w:rPr>
        <w:t xml:space="preserve">Grafik </w:t>
      </w:r>
      <w:r>
        <w:rPr>
          <w:rFonts w:ascii="Tahoma" w:hAnsi="Tahoma" w:cs="Tahoma"/>
          <w:color w:val="000000"/>
          <w:sz w:val="22"/>
          <w:szCs w:val="22"/>
        </w:rPr>
        <w:t>3.2</w:t>
      </w:r>
    </w:p>
    <w:p>
      <w:pPr>
        <w:pStyle w:val="20"/>
        <w:numPr>
          <w:ilvl w:val="0"/>
          <w:numId w:val="0"/>
        </w:numPr>
        <w:tabs>
          <w:tab w:val="clear" w:pos="1080"/>
        </w:tabs>
        <w:spacing w:before="120" w:line="360" w:lineRule="auto"/>
        <w:ind w:left="880" w:leftChars="400"/>
        <w:rPr>
          <w:rFonts w:ascii="Tahoma" w:hAnsi="Tahoma" w:cs="Tahoma"/>
          <w:color w:val="000000"/>
          <w:sz w:val="22"/>
          <w:szCs w:val="22"/>
          <w:lang w:val="id-ID"/>
        </w:rPr>
      </w:pPr>
      <w:r>
        <w:rPr>
          <w:rFonts w:ascii="Tahoma" w:hAnsi="Tahoma" w:cs="Tahoma"/>
          <w:color w:val="000000"/>
          <w:sz w:val="22"/>
          <w:szCs w:val="22"/>
          <w:lang w:val="id-ID"/>
        </w:rPr>
        <w:t xml:space="preserve"> Perkembangan Realisasi Pajak Daerah </w:t>
      </w:r>
      <w:r>
        <w:rPr>
          <w:rFonts w:ascii="Tahoma" w:hAnsi="Tahoma" w:cs="Tahoma"/>
          <w:color w:val="000000"/>
          <w:sz w:val="22"/>
          <w:szCs w:val="22"/>
        </w:rPr>
        <w:t>T</w:t>
      </w:r>
      <w:r>
        <w:rPr>
          <w:rFonts w:ascii="Tahoma" w:hAnsi="Tahoma" w:cs="Tahoma"/>
          <w:color w:val="000000"/>
          <w:sz w:val="22"/>
          <w:szCs w:val="22"/>
          <w:lang w:val="id-ID"/>
        </w:rPr>
        <w:t>ahun 201</w:t>
      </w:r>
      <w:r>
        <w:rPr>
          <w:rFonts w:ascii="Tahoma" w:hAnsi="Tahoma" w:cs="Tahoma"/>
          <w:color w:val="000000"/>
          <w:sz w:val="22"/>
          <w:szCs w:val="22"/>
        </w:rPr>
        <w:t>6</w:t>
      </w:r>
      <w:r>
        <w:rPr>
          <w:rFonts w:ascii="Tahoma" w:hAnsi="Tahoma" w:cs="Tahoma"/>
          <w:color w:val="000000"/>
          <w:sz w:val="22"/>
          <w:szCs w:val="22"/>
          <w:lang w:val="id-ID"/>
        </w:rPr>
        <w:t>-2020</w:t>
      </w:r>
    </w:p>
    <w:p>
      <w:pPr>
        <w:pStyle w:val="20"/>
        <w:numPr>
          <w:ilvl w:val="0"/>
          <w:numId w:val="0"/>
        </w:numPr>
        <w:tabs>
          <w:tab w:val="clear" w:pos="1080"/>
        </w:tabs>
        <w:spacing w:before="120" w:line="360" w:lineRule="auto"/>
        <w:ind w:left="1540" w:leftChars="700"/>
        <w:jc w:val="both"/>
        <w:rPr>
          <w:rFonts w:ascii="Tahoma" w:hAnsi="Tahoma" w:cs="Tahoma"/>
        </w:rPr>
      </w:pPr>
      <w:r>
        <w:rPr>
          <w:rFonts w:ascii="Tahoma" w:hAnsi="Tahoma" w:cs="Tahoma"/>
          <w:color w:val="000000"/>
          <w:sz w:val="22"/>
          <w:szCs w:val="22"/>
          <w:lang w:val="id-ID" w:eastAsia="id-ID"/>
        </w:rPr>
        <w:drawing>
          <wp:inline distT="0" distB="0" distL="114300" distR="114300">
            <wp:extent cx="4498340" cy="3145155"/>
            <wp:effectExtent l="4445" t="4445" r="12065" b="127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30"/>
        <w:spacing w:before="100" w:beforeAutospacing="1" w:after="0" w:line="360" w:lineRule="auto"/>
        <w:ind w:left="425" w:firstLine="440" w:firstLineChars="200"/>
        <w:rPr>
          <w:rFonts w:ascii="Tahoma" w:hAnsi="Tahoma" w:cs="Tahoma"/>
          <w:b/>
          <w:bCs/>
        </w:rPr>
      </w:pPr>
      <w:r>
        <w:rPr>
          <w:rFonts w:ascii="Tahoma" w:hAnsi="Tahoma" w:cs="Tahoma"/>
          <w:b/>
          <w:bCs/>
        </w:rPr>
        <w:t xml:space="preserve">Program/kegiatan dan Anggaran </w:t>
      </w:r>
      <w:r>
        <w:rPr>
          <w:rFonts w:hint="default" w:ascii="Tahoma" w:hAnsi="Tahoma" w:cs="Tahoma"/>
          <w:b/>
          <w:bCs/>
          <w:lang w:val="en-US"/>
        </w:rPr>
        <w:t xml:space="preserve">dengan sasaran ini </w:t>
      </w:r>
      <w:r>
        <w:rPr>
          <w:rFonts w:ascii="Tahoma" w:hAnsi="Tahoma" w:cs="Tahoma"/>
          <w:b/>
          <w:bCs/>
        </w:rPr>
        <w:t>adalah:</w:t>
      </w:r>
    </w:p>
    <w:p>
      <w:pPr>
        <w:pStyle w:val="30"/>
        <w:spacing w:after="0" w:line="360" w:lineRule="auto"/>
        <w:ind w:left="880" w:leftChars="400" w:firstLine="0" w:firstLineChars="0"/>
        <w:rPr>
          <w:rFonts w:hint="default" w:ascii="Tahoma" w:hAnsi="Tahoma" w:cs="Tahoma"/>
          <w:iCs/>
          <w:lang w:val="en-US"/>
        </w:rPr>
      </w:pPr>
      <w:r>
        <w:rPr>
          <w:rFonts w:ascii="Tahoma" w:hAnsi="Tahoma" w:cs="Tahoma"/>
          <w:iCs/>
        </w:rPr>
        <w:t xml:space="preserve">Program : </w:t>
      </w:r>
      <w:r>
        <w:rPr>
          <w:rFonts w:hint="default" w:ascii="Tahoma" w:hAnsi="Tahoma" w:cs="Tahoma"/>
          <w:iCs/>
          <w:lang w:val="en-US"/>
        </w:rPr>
        <w:t>Peningkatan Pendapatan Daerah</w:t>
      </w:r>
    </w:p>
    <w:p>
      <w:pPr>
        <w:pStyle w:val="30"/>
        <w:spacing w:after="0" w:line="360" w:lineRule="auto"/>
        <w:ind w:left="880" w:leftChars="400" w:firstLine="0" w:firstLineChars="0"/>
        <w:rPr>
          <w:rFonts w:ascii="Tahoma" w:hAnsi="Tahoma" w:cs="Tahoma"/>
          <w:iCs/>
        </w:rPr>
      </w:pPr>
      <w:r>
        <w:rPr>
          <w:rFonts w:ascii="Tahoma" w:hAnsi="Tahoma" w:cs="Tahoma"/>
          <w:iCs/>
        </w:rPr>
        <w:t>Kegiatan :</w:t>
      </w:r>
    </w:p>
    <w:p>
      <w:pPr>
        <w:numPr>
          <w:ilvl w:val="0"/>
          <w:numId w:val="40"/>
        </w:numPr>
        <w:tabs>
          <w:tab w:val="clear" w:pos="425"/>
        </w:tabs>
        <w:autoSpaceDE w:val="0"/>
        <w:autoSpaceDN w:val="0"/>
        <w:adjustRightInd w:val="0"/>
        <w:spacing w:after="0" w:line="360" w:lineRule="auto"/>
        <w:ind w:left="1320" w:leftChars="400" w:hanging="440" w:hangingChars="200"/>
        <w:jc w:val="both"/>
        <w:rPr>
          <w:rFonts w:ascii="Tahoma" w:hAnsi="Tahoma" w:cs="Tahoma"/>
          <w:bCs/>
        </w:rPr>
      </w:pPr>
      <w:r>
        <w:rPr>
          <w:rFonts w:hint="default" w:ascii="Tahoma" w:hAnsi="Tahoma" w:cs="Tahoma"/>
          <w:bCs/>
          <w:lang w:val="en-US"/>
        </w:rPr>
        <w:t>Penyusunan Peraturan Gubernur tentang Penghitungan Dasar Pengenaan PKB dan BBNKB</w:t>
      </w:r>
      <w:r>
        <w:rPr>
          <w:rFonts w:ascii="Tahoma" w:hAnsi="Tahoma" w:cs="Tahoma"/>
          <w:bCs/>
        </w:rPr>
        <w:t xml:space="preserve"> dengan anggaran sebesar Rp. </w:t>
      </w:r>
      <w:r>
        <w:rPr>
          <w:rFonts w:hint="default" w:ascii="Tahoma" w:hAnsi="Tahoma" w:cs="Tahoma"/>
          <w:bCs/>
          <w:lang w:val="en-US"/>
        </w:rPr>
        <w:t>119.104.000</w:t>
      </w:r>
      <w:r>
        <w:rPr>
          <w:rFonts w:ascii="Tahoma" w:hAnsi="Tahoma" w:cs="Tahoma"/>
          <w:bCs/>
        </w:rPr>
        <w:t>,-</w:t>
      </w:r>
    </w:p>
    <w:p>
      <w:pPr>
        <w:numPr>
          <w:ilvl w:val="0"/>
          <w:numId w:val="40"/>
        </w:numPr>
        <w:tabs>
          <w:tab w:val="clear" w:pos="425"/>
        </w:tabs>
        <w:autoSpaceDE w:val="0"/>
        <w:autoSpaceDN w:val="0"/>
        <w:adjustRightInd w:val="0"/>
        <w:spacing w:after="0" w:line="360" w:lineRule="auto"/>
        <w:ind w:left="1320" w:leftChars="400" w:hanging="440" w:hangingChars="200"/>
        <w:jc w:val="both"/>
        <w:rPr>
          <w:rFonts w:ascii="Tahoma" w:hAnsi="Tahoma" w:cs="Tahoma"/>
          <w:bCs/>
        </w:rPr>
      </w:pPr>
      <w:r>
        <w:rPr>
          <w:rFonts w:hint="default" w:ascii="Tahoma" w:hAnsi="Tahoma" w:cs="Tahoma"/>
          <w:bCs/>
          <w:lang w:val="en-US"/>
        </w:rPr>
        <w:t>Sosialisasi Peraturan Perundang-undangan di Bidang Cukai dan Retribusi dan Penerimaan Lain-lain</w:t>
      </w:r>
      <w:r>
        <w:rPr>
          <w:rFonts w:ascii="Tahoma" w:hAnsi="Tahoma" w:cs="Tahoma"/>
          <w:bCs/>
        </w:rPr>
        <w:t xml:space="preserve"> dengan anggaran sebesar Rp. </w:t>
      </w:r>
      <w:r>
        <w:rPr>
          <w:rFonts w:hint="default" w:ascii="Tahoma" w:hAnsi="Tahoma" w:cs="Tahoma"/>
          <w:bCs/>
          <w:lang w:val="en-US"/>
        </w:rPr>
        <w:t>17.127.000</w:t>
      </w:r>
      <w:r>
        <w:rPr>
          <w:rFonts w:ascii="Tahoma" w:hAnsi="Tahoma" w:cs="Tahoma"/>
          <w:bCs/>
        </w:rPr>
        <w:t>,-</w:t>
      </w:r>
    </w:p>
    <w:p>
      <w:pPr>
        <w:numPr>
          <w:ilvl w:val="0"/>
          <w:numId w:val="40"/>
        </w:numPr>
        <w:tabs>
          <w:tab w:val="clear" w:pos="425"/>
        </w:tabs>
        <w:autoSpaceDE w:val="0"/>
        <w:autoSpaceDN w:val="0"/>
        <w:adjustRightInd w:val="0"/>
        <w:spacing w:after="0" w:line="360" w:lineRule="auto"/>
        <w:ind w:left="1320" w:leftChars="400" w:hanging="440" w:hangingChars="200"/>
        <w:jc w:val="both"/>
        <w:rPr>
          <w:rFonts w:ascii="Tahoma" w:hAnsi="Tahoma" w:cs="Tahoma"/>
          <w:color w:val="000000"/>
          <w:lang w:val="id-ID"/>
        </w:rPr>
      </w:pPr>
      <w:r>
        <w:rPr>
          <w:rFonts w:hint="default" w:ascii="Tahoma" w:hAnsi="Tahoma" w:cs="Tahoma"/>
          <w:bCs/>
          <w:lang w:val="en-US"/>
        </w:rPr>
        <w:t>Peningkatan Pendapatan Dana Perimbangan</w:t>
      </w:r>
      <w:r>
        <w:rPr>
          <w:rFonts w:ascii="Tahoma" w:hAnsi="Tahoma" w:cs="Tahoma"/>
          <w:bCs/>
        </w:rPr>
        <w:t xml:space="preserve"> dengan anggaran sebesar Rp. </w:t>
      </w:r>
      <w:r>
        <w:rPr>
          <w:rFonts w:hint="default" w:ascii="Tahoma" w:hAnsi="Tahoma" w:cs="Tahoma"/>
          <w:bCs/>
          <w:lang w:val="en-US"/>
        </w:rPr>
        <w:t>35.753.200</w:t>
      </w:r>
      <w:r>
        <w:rPr>
          <w:rFonts w:ascii="Tahoma" w:hAnsi="Tahoma" w:cs="Tahoma"/>
          <w:bCs/>
        </w:rPr>
        <w:t>,-</w:t>
      </w:r>
    </w:p>
    <w:p>
      <w:pPr>
        <w:numPr>
          <w:ilvl w:val="0"/>
          <w:numId w:val="40"/>
        </w:numPr>
        <w:tabs>
          <w:tab w:val="clear" w:pos="425"/>
        </w:tabs>
        <w:autoSpaceDE w:val="0"/>
        <w:autoSpaceDN w:val="0"/>
        <w:adjustRightInd w:val="0"/>
        <w:spacing w:after="0" w:line="360" w:lineRule="auto"/>
        <w:ind w:left="1320" w:leftChars="400" w:hanging="440" w:hangingChars="200"/>
        <w:jc w:val="both"/>
        <w:rPr>
          <w:rFonts w:ascii="Tahoma" w:hAnsi="Tahoma" w:cs="Tahoma"/>
          <w:color w:val="000000"/>
          <w:lang w:val="id-ID"/>
        </w:rPr>
      </w:pPr>
      <w:r>
        <w:rPr>
          <w:rFonts w:hint="default" w:ascii="Tahoma" w:hAnsi="Tahoma" w:cs="Tahoma"/>
          <w:bCs/>
          <w:lang w:val="en-US"/>
        </w:rPr>
        <w:t>Penyusunan Ranperda Retribusi Daerah dengan anggaran sebesar Rp. 204.230.900,-</w:t>
      </w:r>
    </w:p>
    <w:p>
      <w:pPr>
        <w:numPr>
          <w:ilvl w:val="0"/>
          <w:numId w:val="40"/>
        </w:numPr>
        <w:tabs>
          <w:tab w:val="clear" w:pos="425"/>
        </w:tabs>
        <w:autoSpaceDE w:val="0"/>
        <w:autoSpaceDN w:val="0"/>
        <w:adjustRightInd w:val="0"/>
        <w:spacing w:after="0" w:line="360" w:lineRule="auto"/>
        <w:ind w:left="1320" w:leftChars="400" w:hanging="440" w:hangingChars="200"/>
        <w:jc w:val="both"/>
        <w:rPr>
          <w:rFonts w:ascii="Tahoma" w:hAnsi="Tahoma" w:cs="Tahoma"/>
          <w:color w:val="000000"/>
          <w:lang w:val="id-ID"/>
        </w:rPr>
      </w:pPr>
      <w:r>
        <w:rPr>
          <w:rFonts w:hint="default" w:ascii="Tahoma" w:hAnsi="Tahoma" w:cs="Tahoma"/>
          <w:bCs/>
          <w:lang w:val="en-US"/>
        </w:rPr>
        <w:t>Peningkatan dan Penyusunan Rencana Penerimaan Retribusi Daerah dan Penerimaan Lain-lain dengan anggaran sebesar Rp. 58.683.300,-</w:t>
      </w:r>
    </w:p>
    <w:p>
      <w:pPr>
        <w:numPr>
          <w:ilvl w:val="0"/>
          <w:numId w:val="40"/>
        </w:numPr>
        <w:tabs>
          <w:tab w:val="clear" w:pos="425"/>
        </w:tabs>
        <w:autoSpaceDE w:val="0"/>
        <w:autoSpaceDN w:val="0"/>
        <w:adjustRightInd w:val="0"/>
        <w:spacing w:after="0" w:line="360" w:lineRule="auto"/>
        <w:ind w:left="1320" w:leftChars="400" w:hanging="440" w:hangingChars="200"/>
        <w:jc w:val="both"/>
        <w:rPr>
          <w:rFonts w:ascii="Tahoma" w:hAnsi="Tahoma" w:cs="Tahoma"/>
          <w:color w:val="000000"/>
          <w:lang w:val="id-ID"/>
        </w:rPr>
      </w:pPr>
      <w:r>
        <w:rPr>
          <w:rFonts w:hint="default" w:ascii="Tahoma" w:hAnsi="Tahoma" w:cs="Tahoma"/>
          <w:bCs/>
          <w:lang w:val="en-US"/>
        </w:rPr>
        <w:t>Intensifikasi Peningkatan Pajak Daerah dengan anggaran sebesar Rp. 5.157.078.245,-</w:t>
      </w:r>
    </w:p>
    <w:p>
      <w:pPr>
        <w:spacing w:after="0" w:line="360" w:lineRule="auto"/>
        <w:jc w:val="both"/>
        <w:rPr>
          <w:rFonts w:ascii="Tahoma" w:hAnsi="Tahoma" w:cs="Tahoma"/>
          <w:bCs/>
          <w:color w:val="000000"/>
          <w:lang w:val="id-ID"/>
        </w:rPr>
      </w:pPr>
    </w:p>
    <w:p>
      <w:pPr>
        <w:spacing w:after="0" w:line="360" w:lineRule="auto"/>
        <w:jc w:val="both"/>
        <w:rPr>
          <w:rFonts w:ascii="Tahoma" w:hAnsi="Tahoma" w:cs="Tahoma"/>
          <w:bCs/>
          <w:color w:val="000000"/>
          <w:lang w:val="id-ID"/>
        </w:rPr>
      </w:pPr>
    </w:p>
    <w:p>
      <w:pPr>
        <w:pStyle w:val="20"/>
        <w:numPr>
          <w:ilvl w:val="0"/>
          <w:numId w:val="28"/>
        </w:numPr>
        <w:tabs>
          <w:tab w:val="left" w:pos="660"/>
          <w:tab w:val="clear" w:pos="900"/>
        </w:tabs>
        <w:spacing w:line="360" w:lineRule="auto"/>
        <w:ind w:left="900" w:leftChars="0" w:hanging="460" w:firstLineChars="0"/>
        <w:jc w:val="both"/>
        <w:rPr>
          <w:rFonts w:ascii="Tahoma" w:hAnsi="Tahoma" w:cs="Tahoma"/>
          <w:sz w:val="22"/>
          <w:szCs w:val="22"/>
          <w:lang w:val="id-ID"/>
        </w:rPr>
      </w:pPr>
      <w:r>
        <w:rPr>
          <w:rFonts w:hint="default" w:ascii="Tahoma" w:hAnsi="Tahoma" w:cs="Tahoma"/>
          <w:sz w:val="22"/>
          <w:szCs w:val="22"/>
          <w:lang w:val="en-US"/>
        </w:rPr>
        <w:t xml:space="preserve">   </w:t>
      </w:r>
      <w:r>
        <w:rPr>
          <w:rFonts w:ascii="Tahoma" w:hAnsi="Tahoma" w:cs="Tahoma"/>
          <w:sz w:val="22"/>
          <w:szCs w:val="22"/>
          <w:lang w:val="id-ID"/>
        </w:rPr>
        <w:t>Meningkatnya Kualitas Pelayanan Publik</w:t>
      </w:r>
    </w:p>
    <w:p>
      <w:pPr>
        <w:spacing w:line="360" w:lineRule="auto"/>
        <w:ind w:left="880" w:leftChars="0" w:firstLine="0" w:firstLineChars="0"/>
        <w:jc w:val="both"/>
        <w:rPr>
          <w:rFonts w:ascii="Tahoma" w:hAnsi="Tahoma" w:cs="Tahoma"/>
        </w:rPr>
      </w:pPr>
      <w:r>
        <w:rPr>
          <w:rFonts w:ascii="Tahoma" w:hAnsi="Tahoma" w:cs="Tahoma"/>
          <w:lang w:val="id-ID"/>
        </w:rPr>
        <w:t xml:space="preserve">Dalam masa pandemi covic-19 </w:t>
      </w:r>
      <w:r>
        <w:rPr>
          <w:rFonts w:ascii="Tahoma" w:hAnsi="Tahoma" w:cs="Tahoma"/>
        </w:rPr>
        <w:t xml:space="preserve">Strategi pelaksanaan transpormasi penyelenggaraan pelayanan publik dalam tatanan normal baru </w:t>
      </w:r>
      <w:r>
        <w:rPr>
          <w:rFonts w:ascii="Tahoma" w:hAnsi="Tahoma" w:cs="Tahoma"/>
          <w:lang w:val="id-ID"/>
        </w:rPr>
        <w:t xml:space="preserve">Badan Keuangan Daerah melaksanakan </w:t>
      </w:r>
      <w:r>
        <w:rPr>
          <w:rFonts w:ascii="Tahoma" w:hAnsi="Tahoma" w:cs="Tahoma"/>
        </w:rPr>
        <w:t>dalam bentuk :</w:t>
      </w:r>
    </w:p>
    <w:p>
      <w:pPr>
        <w:pStyle w:val="30"/>
        <w:numPr>
          <w:ilvl w:val="0"/>
          <w:numId w:val="41"/>
        </w:numPr>
        <w:spacing w:line="360" w:lineRule="auto"/>
        <w:ind w:left="1555" w:leftChars="498" w:hanging="459" w:hangingChars="209"/>
        <w:jc w:val="both"/>
        <w:rPr>
          <w:rFonts w:ascii="Tahoma" w:hAnsi="Tahoma" w:cs="Tahoma"/>
        </w:rPr>
      </w:pPr>
      <w:r>
        <w:rPr>
          <w:rFonts w:ascii="Tahoma" w:hAnsi="Tahoma" w:cs="Tahoma"/>
        </w:rPr>
        <w:t>Proses bisnis</w:t>
      </w:r>
    </w:p>
    <w:p>
      <w:pPr>
        <w:pStyle w:val="30"/>
        <w:spacing w:line="360" w:lineRule="auto"/>
        <w:ind w:left="1540" w:leftChars="700"/>
        <w:jc w:val="both"/>
        <w:rPr>
          <w:rFonts w:ascii="Tahoma" w:hAnsi="Tahoma" w:cs="Tahoma"/>
        </w:rPr>
      </w:pPr>
      <w:r>
        <w:rPr>
          <w:rFonts w:ascii="Tahoma" w:hAnsi="Tahoma" w:cs="Tahoma"/>
        </w:rPr>
        <w:t>Melakukan penyederhanaan proses dan standar oprasional prosedur pelayanan dengan menggunakan Teknologi Informasi Komunikasi.Salah satu yaitu dengan menggunakan aplikasi SALMONAS mengunakan HP Android. Dimana pada aplikasi ini dapat dilakukan pembayaran pajak sencara online.</w:t>
      </w:r>
    </w:p>
    <w:p>
      <w:pPr>
        <w:pStyle w:val="30"/>
        <w:numPr>
          <w:ilvl w:val="0"/>
          <w:numId w:val="41"/>
        </w:numPr>
        <w:spacing w:line="360" w:lineRule="auto"/>
        <w:ind w:left="1555" w:leftChars="498" w:hanging="459" w:hangingChars="209"/>
        <w:jc w:val="both"/>
        <w:rPr>
          <w:rFonts w:ascii="Tahoma" w:hAnsi="Tahoma" w:cs="Tahoma"/>
        </w:rPr>
      </w:pPr>
      <w:r>
        <w:rPr>
          <w:rFonts w:ascii="Tahoma" w:hAnsi="Tahoma" w:cs="Tahoma"/>
        </w:rPr>
        <w:t>Publikasi</w:t>
      </w:r>
    </w:p>
    <w:p>
      <w:pPr>
        <w:pStyle w:val="30"/>
        <w:spacing w:line="360" w:lineRule="auto"/>
        <w:ind w:left="1553" w:leftChars="700" w:hanging="13" w:hangingChars="6"/>
        <w:jc w:val="both"/>
        <w:rPr>
          <w:rFonts w:ascii="Tahoma" w:hAnsi="Tahoma" w:cs="Tahoma"/>
        </w:rPr>
      </w:pPr>
      <w:r>
        <w:rPr>
          <w:rFonts w:ascii="Tahoma" w:hAnsi="Tahoma" w:cs="Tahoma"/>
        </w:rPr>
        <w:t>Untuk informasi yang baru disampaiakan kepada masyarakat dengan menggunakan  media publikasi seperti radio.</w:t>
      </w:r>
    </w:p>
    <w:p>
      <w:pPr>
        <w:pStyle w:val="30"/>
        <w:numPr>
          <w:ilvl w:val="0"/>
          <w:numId w:val="41"/>
        </w:numPr>
        <w:spacing w:line="360" w:lineRule="auto"/>
        <w:ind w:left="1555" w:leftChars="498" w:hanging="459" w:hangingChars="209"/>
        <w:jc w:val="both"/>
        <w:rPr>
          <w:rFonts w:ascii="Tahoma" w:hAnsi="Tahoma" w:cs="Tahoma"/>
        </w:rPr>
      </w:pPr>
      <w:r>
        <w:rPr>
          <w:rFonts w:ascii="Tahoma" w:hAnsi="Tahoma" w:cs="Tahoma"/>
        </w:rPr>
        <w:t>Pengaduan online</w:t>
      </w:r>
    </w:p>
    <w:p>
      <w:pPr>
        <w:pStyle w:val="30"/>
        <w:spacing w:line="360" w:lineRule="auto"/>
        <w:ind w:left="1553" w:leftChars="700" w:hanging="13" w:hangingChars="6"/>
        <w:jc w:val="both"/>
        <w:rPr>
          <w:rFonts w:ascii="Tahoma" w:hAnsi="Tahoma" w:cs="Tahoma"/>
        </w:rPr>
      </w:pPr>
      <w:r>
        <w:rPr>
          <w:rFonts w:ascii="Tahoma" w:hAnsi="Tahoma" w:cs="Tahoma"/>
        </w:rPr>
        <w:t>Bagi wajib pajak yang kurang puas terhadap pelayanan pajak dapat menggunakan media sistem online berupa SPAN LAPOR dan CHAT ONLINE dengan situs www//dpkdsumbar.go.id</w:t>
      </w:r>
    </w:p>
    <w:p>
      <w:pPr>
        <w:pStyle w:val="30"/>
        <w:numPr>
          <w:ilvl w:val="0"/>
          <w:numId w:val="41"/>
        </w:numPr>
        <w:spacing w:line="360" w:lineRule="auto"/>
        <w:ind w:left="1555" w:leftChars="498" w:hanging="459" w:hangingChars="209"/>
        <w:jc w:val="both"/>
        <w:rPr>
          <w:rFonts w:ascii="Tahoma" w:hAnsi="Tahoma" w:cs="Tahoma"/>
        </w:rPr>
      </w:pPr>
      <w:r>
        <w:rPr>
          <w:rFonts w:ascii="Tahoma" w:hAnsi="Tahoma" w:cs="Tahoma"/>
        </w:rPr>
        <w:t>Protokol kesehatan</w:t>
      </w:r>
    </w:p>
    <w:p>
      <w:pPr>
        <w:pStyle w:val="30"/>
        <w:spacing w:line="360" w:lineRule="auto"/>
        <w:ind w:left="1553" w:leftChars="700" w:hanging="13" w:hangingChars="6"/>
        <w:jc w:val="both"/>
        <w:rPr>
          <w:rFonts w:hint="default" w:ascii="Tahoma" w:hAnsi="Tahoma" w:cs="Tahoma"/>
          <w:lang w:val="en-US"/>
        </w:rPr>
      </w:pPr>
      <w:r>
        <w:rPr>
          <w:rFonts w:ascii="Tahoma" w:hAnsi="Tahoma" w:cs="Tahoma"/>
        </w:rPr>
        <w:t>Melaksanakan protokol kesehatan sesuai dengan yang ditetapkan oleh Menteri Kesehatan</w:t>
      </w:r>
      <w:r>
        <w:rPr>
          <w:rFonts w:hint="default" w:ascii="Tahoma" w:hAnsi="Tahoma" w:cs="Tahoma"/>
          <w:lang w:val="en-US"/>
        </w:rPr>
        <w:t xml:space="preserve"> untuk pelayanan wajib pajak.</w:t>
      </w:r>
    </w:p>
    <w:p>
      <w:pPr>
        <w:pStyle w:val="20"/>
        <w:numPr>
          <w:ilvl w:val="0"/>
          <w:numId w:val="0"/>
        </w:numPr>
        <w:tabs>
          <w:tab w:val="clear" w:pos="1080"/>
        </w:tabs>
        <w:spacing w:before="120" w:line="360" w:lineRule="auto"/>
        <w:ind w:left="878" w:leftChars="384" w:hanging="33" w:hangingChars="15"/>
        <w:jc w:val="both"/>
        <w:rPr>
          <w:rFonts w:ascii="Tahoma" w:hAnsi="Tahoma" w:cs="Tahoma"/>
          <w:b w:val="0"/>
          <w:bCs w:val="0"/>
          <w:color w:val="000000"/>
          <w:sz w:val="22"/>
          <w:szCs w:val="22"/>
          <w:lang w:val="id-ID"/>
        </w:rPr>
      </w:pPr>
      <w:r>
        <w:rPr>
          <w:rFonts w:ascii="Tahoma" w:hAnsi="Tahoma" w:cs="Tahoma"/>
          <w:b w:val="0"/>
          <w:color w:val="000000"/>
          <w:sz w:val="22"/>
          <w:szCs w:val="22"/>
          <w:lang w:val="id-ID"/>
        </w:rPr>
        <w:t>Untuk mengukur sasaran strategis kualitas pelayanan pelayanan publik yaitu</w:t>
      </w:r>
      <w:r>
        <w:rPr>
          <w:rFonts w:ascii="Tahoma" w:hAnsi="Tahoma" w:cs="Tahoma"/>
          <w:b w:val="0"/>
          <w:bCs w:val="0"/>
          <w:color w:val="000000"/>
          <w:sz w:val="22"/>
          <w:szCs w:val="22"/>
          <w:lang w:val="id-ID"/>
        </w:rPr>
        <w:t xml:space="preserve"> Indek Kepuasan Masyarakat terhadap pelayanan yang dilakukan oleh Badan Keuangan Daerah Prov</w:t>
      </w:r>
      <w:r>
        <w:rPr>
          <w:rFonts w:ascii="Tahoma" w:hAnsi="Tahoma" w:cs="Tahoma"/>
          <w:b w:val="0"/>
          <w:bCs w:val="0"/>
          <w:color w:val="000000"/>
          <w:sz w:val="22"/>
          <w:szCs w:val="22"/>
        </w:rPr>
        <w:t>insi</w:t>
      </w:r>
      <w:r>
        <w:rPr>
          <w:rFonts w:ascii="Tahoma" w:hAnsi="Tahoma" w:cs="Tahoma"/>
          <w:b w:val="0"/>
          <w:bCs w:val="0"/>
          <w:color w:val="000000"/>
          <w:sz w:val="22"/>
          <w:szCs w:val="22"/>
          <w:lang w:val="id-ID"/>
        </w:rPr>
        <w:t>. Sumbar terhadap wajib pajak biasanya dilakukan dengan melakukan survei IKM.</w:t>
      </w:r>
      <w:r>
        <w:rPr>
          <w:rFonts w:hint="default" w:ascii="Tahoma" w:hAnsi="Tahoma" w:cs="Tahoma"/>
          <w:b w:val="0"/>
          <w:bCs w:val="0"/>
          <w:color w:val="000000"/>
          <w:sz w:val="22"/>
          <w:szCs w:val="22"/>
          <w:lang w:val="en-US"/>
        </w:rPr>
        <w:t xml:space="preserve"> </w:t>
      </w:r>
      <w:r>
        <w:rPr>
          <w:rFonts w:ascii="Tahoma" w:hAnsi="Tahoma" w:cs="Tahoma"/>
          <w:b w:val="0"/>
          <w:bCs w:val="0"/>
          <w:color w:val="000000"/>
          <w:sz w:val="22"/>
          <w:szCs w:val="22"/>
          <w:lang w:val="id-ID"/>
        </w:rPr>
        <w:t>Tahun 2020 ini dianggarkan kegiatan survei IKM tapi karena adanya recofusing anggaran maka kegiatan tersebut tidak ada, tapi mengingat tingkat kepuasan masyarakat merupakan sasaran strategis Badan Keuangan Daerah maka dilakukan dengan cara menggunakan kartu puas ,</w:t>
      </w:r>
      <w:r>
        <w:rPr>
          <w:rFonts w:hint="default" w:ascii="Tahoma" w:hAnsi="Tahoma" w:cs="Tahoma"/>
          <w:b w:val="0"/>
          <w:bCs w:val="0"/>
          <w:color w:val="000000"/>
          <w:sz w:val="22"/>
          <w:szCs w:val="22"/>
          <w:lang w:val="en-US"/>
        </w:rPr>
        <w:t xml:space="preserve"> </w:t>
      </w:r>
      <w:r>
        <w:rPr>
          <w:rFonts w:ascii="Tahoma" w:hAnsi="Tahoma" w:cs="Tahoma"/>
          <w:b w:val="0"/>
          <w:bCs w:val="0"/>
          <w:color w:val="000000"/>
          <w:sz w:val="22"/>
          <w:szCs w:val="22"/>
          <w:lang w:val="id-ID"/>
        </w:rPr>
        <w:t>kurang puas</w:t>
      </w:r>
      <w:r>
        <w:rPr>
          <w:rFonts w:hint="default" w:ascii="Tahoma" w:hAnsi="Tahoma" w:cs="Tahoma"/>
          <w:b w:val="0"/>
          <w:bCs w:val="0"/>
          <w:color w:val="000000"/>
          <w:sz w:val="22"/>
          <w:szCs w:val="22"/>
          <w:lang w:val="en-US"/>
        </w:rPr>
        <w:t xml:space="preserve">, dan </w:t>
      </w:r>
      <w:r>
        <w:rPr>
          <w:rFonts w:ascii="Tahoma" w:hAnsi="Tahoma" w:cs="Tahoma"/>
          <w:b w:val="0"/>
          <w:bCs w:val="0"/>
          <w:color w:val="000000"/>
          <w:sz w:val="22"/>
          <w:szCs w:val="22"/>
          <w:lang w:val="id-ID"/>
        </w:rPr>
        <w:t xml:space="preserve"> tidak puas yang ditetapkan pada tempat pelayanan pajak.</w:t>
      </w:r>
    </w:p>
    <w:p>
      <w:pPr>
        <w:pStyle w:val="20"/>
        <w:numPr>
          <w:ilvl w:val="0"/>
          <w:numId w:val="0"/>
        </w:numPr>
        <w:tabs>
          <w:tab w:val="clear" w:pos="1080"/>
        </w:tabs>
        <w:spacing w:before="120" w:line="360" w:lineRule="auto"/>
        <w:ind w:left="878" w:leftChars="384" w:hanging="33" w:hangingChars="15"/>
        <w:jc w:val="both"/>
        <w:rPr>
          <w:rFonts w:ascii="Tahoma" w:hAnsi="Tahoma" w:cs="Tahoma"/>
          <w:b w:val="0"/>
          <w:bCs w:val="0"/>
          <w:color w:val="000000"/>
          <w:sz w:val="22"/>
          <w:szCs w:val="22"/>
          <w:lang w:val="id-ID"/>
        </w:rPr>
      </w:pPr>
      <w:r>
        <w:rPr>
          <w:rFonts w:ascii="Tahoma" w:hAnsi="Tahoma" w:cs="Tahoma"/>
          <w:b w:val="0"/>
          <w:bCs w:val="0"/>
          <w:color w:val="000000"/>
          <w:sz w:val="22"/>
          <w:szCs w:val="22"/>
          <w:lang w:val="id-ID"/>
        </w:rPr>
        <w:t xml:space="preserve">Metode yang dipakai dalam menentukan seberapa puas masyarakat menerima pelayanan yang telah diberikan oleh UPTD </w:t>
      </w:r>
      <w:r>
        <w:rPr>
          <w:rFonts w:ascii="Tahoma" w:hAnsi="Tahoma" w:cs="Tahoma"/>
          <w:b w:val="0"/>
          <w:bCs w:val="0"/>
          <w:color w:val="000000"/>
          <w:sz w:val="22"/>
          <w:szCs w:val="22"/>
        </w:rPr>
        <w:t>Badan Keuangan Daerah</w:t>
      </w:r>
      <w:r>
        <w:rPr>
          <w:rFonts w:ascii="Tahoma" w:hAnsi="Tahoma" w:cs="Tahoma"/>
          <w:b w:val="0"/>
          <w:bCs w:val="0"/>
          <w:color w:val="000000"/>
          <w:sz w:val="22"/>
          <w:szCs w:val="22"/>
          <w:lang w:val="id-ID"/>
        </w:rPr>
        <w:t xml:space="preserve">. </w:t>
      </w:r>
      <w:r>
        <w:rPr>
          <w:rFonts w:ascii="Tahoma" w:hAnsi="Tahoma" w:cs="Tahoma"/>
          <w:b w:val="0"/>
          <w:bCs w:val="0"/>
          <w:color w:val="000000"/>
          <w:sz w:val="22"/>
          <w:szCs w:val="22"/>
        </w:rPr>
        <w:t>Berupa m</w:t>
      </w:r>
      <w:r>
        <w:rPr>
          <w:rFonts w:ascii="Tahoma" w:hAnsi="Tahoma" w:cs="Tahoma"/>
          <w:b w:val="0"/>
          <w:bCs w:val="0"/>
          <w:color w:val="000000"/>
          <w:sz w:val="22"/>
          <w:szCs w:val="22"/>
          <w:lang w:val="id-ID"/>
        </w:rPr>
        <w:t xml:space="preserve">emberikan partisipasi dengan memilih Kartu Puas, Kurang Puas dan Tidak Puas sesuai dengan warna masing-masing, lalu memasukkannya ke dalam </w:t>
      </w:r>
      <w:r>
        <w:rPr>
          <w:rFonts w:ascii="Tahoma" w:hAnsi="Tahoma" w:cs="Tahoma"/>
          <w:b w:val="0"/>
          <w:bCs w:val="0"/>
          <w:color w:val="000000"/>
          <w:sz w:val="22"/>
          <w:szCs w:val="22"/>
        </w:rPr>
        <w:t>K</w:t>
      </w:r>
      <w:r>
        <w:rPr>
          <w:rFonts w:ascii="Tahoma" w:hAnsi="Tahoma" w:cs="Tahoma"/>
          <w:b w:val="0"/>
          <w:bCs w:val="0"/>
          <w:color w:val="000000"/>
          <w:sz w:val="22"/>
          <w:szCs w:val="22"/>
          <w:lang w:val="id-ID"/>
        </w:rPr>
        <w:t xml:space="preserve">otak pelayanan. Dengan memberikan warna Merah = Tidak Puas , Kuning = Kurang Puas dan </w:t>
      </w:r>
      <w:r>
        <w:rPr>
          <w:rFonts w:ascii="Tahoma" w:hAnsi="Tahoma" w:cs="Tahoma"/>
          <w:b w:val="0"/>
          <w:bCs w:val="0"/>
          <w:color w:val="000000"/>
          <w:sz w:val="22"/>
          <w:szCs w:val="22"/>
        </w:rPr>
        <w:t>H</w:t>
      </w:r>
      <w:r>
        <w:rPr>
          <w:rFonts w:ascii="Tahoma" w:hAnsi="Tahoma" w:cs="Tahoma"/>
          <w:b w:val="0"/>
          <w:bCs w:val="0"/>
          <w:color w:val="000000"/>
          <w:sz w:val="22"/>
          <w:szCs w:val="22"/>
          <w:lang w:val="id-ID"/>
        </w:rPr>
        <w:t>ijau  = Puas</w:t>
      </w:r>
    </w:p>
    <w:p>
      <w:pPr>
        <w:pStyle w:val="20"/>
        <w:numPr>
          <w:ilvl w:val="0"/>
          <w:numId w:val="0"/>
        </w:numPr>
        <w:tabs>
          <w:tab w:val="clear" w:pos="1080"/>
        </w:tabs>
        <w:spacing w:before="120" w:line="360" w:lineRule="auto"/>
        <w:ind w:left="880" w:leftChars="400" w:firstLine="22" w:firstLineChars="10"/>
        <w:jc w:val="both"/>
        <w:rPr>
          <w:rFonts w:ascii="Tahoma" w:hAnsi="Tahoma" w:cs="Tahoma"/>
          <w:b w:val="0"/>
          <w:bCs w:val="0"/>
          <w:color w:val="000000"/>
          <w:sz w:val="22"/>
          <w:szCs w:val="22"/>
          <w:lang w:val="id-ID"/>
        </w:rPr>
      </w:pPr>
      <w:r>
        <w:rPr>
          <w:rFonts w:ascii="Tahoma" w:hAnsi="Tahoma" w:cs="Tahoma"/>
          <w:b w:val="0"/>
          <w:bCs w:val="0"/>
          <w:color w:val="000000"/>
          <w:sz w:val="22"/>
          <w:szCs w:val="22"/>
          <w:lang w:val="id-ID"/>
        </w:rPr>
        <w:t>Kepuasan Pelayanan adalah salah satu bentuk konkrit yang dilaksanakan oleh seluruh UPTD. Untuk mengetahui indek</w:t>
      </w:r>
      <w:r>
        <w:rPr>
          <w:rFonts w:ascii="Tahoma" w:hAnsi="Tahoma" w:cs="Tahoma"/>
          <w:b w:val="0"/>
          <w:bCs w:val="0"/>
          <w:color w:val="000000"/>
          <w:sz w:val="22"/>
          <w:szCs w:val="22"/>
        </w:rPr>
        <w:t>s</w:t>
      </w:r>
      <w:r>
        <w:rPr>
          <w:rFonts w:ascii="Tahoma" w:hAnsi="Tahoma" w:cs="Tahoma"/>
          <w:b w:val="0"/>
          <w:bCs w:val="0"/>
          <w:color w:val="000000"/>
          <w:sz w:val="22"/>
          <w:szCs w:val="22"/>
          <w:lang w:val="id-ID"/>
        </w:rPr>
        <w:t xml:space="preserve"> kepuasan masyarakat terhadap pelayanan dilihat dari hasil rekap kartu yang ada dalam kotak pelayanan yang diberikan oleh masyarakat yang dilaksanakan pada 18 UPTD PPD </w:t>
      </w:r>
      <w:r>
        <w:rPr>
          <w:rFonts w:ascii="Tahoma" w:hAnsi="Tahoma" w:cs="Tahoma"/>
          <w:b w:val="0"/>
          <w:bCs w:val="0"/>
          <w:color w:val="000000"/>
          <w:sz w:val="22"/>
          <w:szCs w:val="22"/>
        </w:rPr>
        <w:t>Badan Keuangan Daerah</w:t>
      </w:r>
      <w:r>
        <w:rPr>
          <w:rFonts w:ascii="Tahoma" w:hAnsi="Tahoma" w:cs="Tahoma"/>
          <w:b w:val="0"/>
          <w:bCs w:val="0"/>
          <w:color w:val="000000"/>
          <w:sz w:val="22"/>
          <w:szCs w:val="22"/>
          <w:lang w:val="id-ID"/>
        </w:rPr>
        <w:t>. Dari hasil kartu tersebut direkap datanya</w:t>
      </w:r>
      <w:r>
        <w:rPr>
          <w:rFonts w:ascii="Tahoma" w:hAnsi="Tahoma" w:cs="Tahoma"/>
          <w:b w:val="0"/>
          <w:bCs w:val="0"/>
          <w:color w:val="000000"/>
          <w:sz w:val="22"/>
          <w:szCs w:val="22"/>
        </w:rPr>
        <w:t xml:space="preserve">, dimana hasil indeks kepuasan pelayanan secara keseluruhan adalah berupa puas dengan kategori B. </w:t>
      </w:r>
    </w:p>
    <w:p>
      <w:pPr>
        <w:pStyle w:val="20"/>
        <w:numPr>
          <w:ilvl w:val="0"/>
          <w:numId w:val="0"/>
        </w:numPr>
        <w:tabs>
          <w:tab w:val="clear" w:pos="1080"/>
        </w:tabs>
        <w:spacing w:before="120" w:line="360" w:lineRule="auto"/>
        <w:ind w:left="880" w:leftChars="400" w:firstLine="22" w:firstLineChars="10"/>
        <w:jc w:val="both"/>
        <w:rPr>
          <w:rFonts w:ascii="Tahoma" w:hAnsi="Tahoma" w:cs="Tahoma"/>
          <w:b w:val="0"/>
          <w:bCs w:val="0"/>
          <w:color w:val="000000"/>
          <w:sz w:val="22"/>
          <w:szCs w:val="22"/>
          <w:lang w:val="id-ID"/>
        </w:rPr>
      </w:pPr>
      <w:r>
        <w:rPr>
          <w:rFonts w:ascii="Tahoma" w:hAnsi="Tahoma" w:cs="Tahoma"/>
          <w:b w:val="0"/>
          <w:bCs w:val="0"/>
          <w:color w:val="000000"/>
          <w:sz w:val="22"/>
          <w:szCs w:val="22"/>
          <w:lang w:val="id-ID"/>
        </w:rPr>
        <w:t>Gambaran kinerja meningkatnya kualitas pelayanan publik dapat dolihat pada tabel dibawah .</w:t>
      </w:r>
    </w:p>
    <w:p>
      <w:pPr>
        <w:pStyle w:val="20"/>
        <w:numPr>
          <w:ilvl w:val="0"/>
          <w:numId w:val="0"/>
        </w:numPr>
        <w:spacing w:afterLines="50"/>
        <w:ind w:left="850" w:hanging="11"/>
        <w:rPr>
          <w:rFonts w:ascii="Tahoma" w:hAnsi="Tahoma" w:cs="Tahoma"/>
          <w:bCs w:val="0"/>
          <w:color w:val="000000"/>
          <w:sz w:val="22"/>
          <w:szCs w:val="22"/>
          <w:lang w:val="id-ID"/>
        </w:rPr>
      </w:pPr>
    </w:p>
    <w:p>
      <w:pPr>
        <w:pStyle w:val="20"/>
        <w:numPr>
          <w:ilvl w:val="0"/>
          <w:numId w:val="0"/>
        </w:numPr>
        <w:spacing w:afterLines="50"/>
        <w:ind w:left="850" w:hanging="11"/>
        <w:rPr>
          <w:rFonts w:hint="default" w:ascii="Tahoma" w:hAnsi="Tahoma" w:cs="Tahoma"/>
          <w:bCs w:val="0"/>
          <w:color w:val="000000"/>
          <w:sz w:val="22"/>
          <w:szCs w:val="22"/>
          <w:lang w:val="en-US"/>
        </w:rPr>
      </w:pPr>
      <w:r>
        <w:rPr>
          <w:rFonts w:ascii="Tahoma" w:hAnsi="Tahoma" w:cs="Tahoma"/>
          <w:bCs w:val="0"/>
          <w:color w:val="000000"/>
          <w:sz w:val="22"/>
          <w:szCs w:val="22"/>
          <w:lang w:val="id-ID"/>
        </w:rPr>
        <w:t xml:space="preserve">Tabel </w:t>
      </w:r>
      <w:r>
        <w:rPr>
          <w:rFonts w:ascii="Tahoma" w:hAnsi="Tahoma" w:cs="Tahoma"/>
          <w:bCs w:val="0"/>
          <w:color w:val="000000"/>
          <w:sz w:val="22"/>
          <w:szCs w:val="22"/>
        </w:rPr>
        <w:t>3.</w:t>
      </w:r>
      <w:r>
        <w:rPr>
          <w:rFonts w:hint="default" w:ascii="Tahoma" w:hAnsi="Tahoma" w:cs="Tahoma"/>
          <w:bCs w:val="0"/>
          <w:color w:val="000000"/>
          <w:sz w:val="22"/>
          <w:szCs w:val="22"/>
          <w:lang w:val="en-US"/>
        </w:rPr>
        <w:t>10</w:t>
      </w:r>
    </w:p>
    <w:p>
      <w:pPr>
        <w:pStyle w:val="20"/>
        <w:numPr>
          <w:ilvl w:val="0"/>
          <w:numId w:val="0"/>
        </w:numPr>
        <w:ind w:left="851" w:hanging="11"/>
        <w:rPr>
          <w:rFonts w:ascii="Tahoma" w:hAnsi="Tahoma" w:cs="Tahoma"/>
          <w:bCs w:val="0"/>
          <w:color w:val="000000"/>
          <w:sz w:val="22"/>
          <w:szCs w:val="22"/>
          <w:lang w:val="id-ID"/>
        </w:rPr>
      </w:pPr>
      <w:r>
        <w:rPr>
          <w:rFonts w:ascii="Tahoma" w:hAnsi="Tahoma" w:cs="Tahoma"/>
          <w:bCs w:val="0"/>
          <w:color w:val="000000"/>
          <w:sz w:val="22"/>
          <w:szCs w:val="22"/>
          <w:lang w:val="id-ID"/>
        </w:rPr>
        <w:t>Pengukuran Kinerja</w:t>
      </w:r>
    </w:p>
    <w:p>
      <w:pPr>
        <w:pStyle w:val="20"/>
        <w:numPr>
          <w:ilvl w:val="0"/>
          <w:numId w:val="0"/>
        </w:numPr>
        <w:ind w:left="851" w:hanging="11"/>
        <w:rPr>
          <w:rFonts w:ascii="Tahoma" w:hAnsi="Tahoma" w:cs="Tahoma"/>
          <w:bCs w:val="0"/>
          <w:color w:val="000000"/>
          <w:sz w:val="22"/>
          <w:szCs w:val="22"/>
          <w:lang w:val="id-ID"/>
        </w:rPr>
      </w:pPr>
      <w:r>
        <w:rPr>
          <w:rFonts w:ascii="Tahoma" w:hAnsi="Tahoma" w:cs="Tahoma"/>
          <w:bCs w:val="0"/>
          <w:color w:val="000000"/>
          <w:sz w:val="22"/>
          <w:szCs w:val="22"/>
          <w:lang w:val="id-ID"/>
        </w:rPr>
        <w:t>Meningkatnya Kualitas Pelayanan Publik</w:t>
      </w:r>
    </w:p>
    <w:p>
      <w:pPr>
        <w:pStyle w:val="20"/>
        <w:numPr>
          <w:ilvl w:val="0"/>
          <w:numId w:val="0"/>
        </w:numPr>
        <w:jc w:val="both"/>
        <w:rPr>
          <w:color w:val="000000"/>
          <w:lang w:val="id-ID"/>
        </w:rPr>
      </w:pPr>
    </w:p>
    <w:tbl>
      <w:tblPr>
        <w:tblStyle w:val="7"/>
        <w:tblW w:w="8099" w:type="dxa"/>
        <w:tblInd w:w="1187" w:type="dxa"/>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Layout w:type="fixed"/>
        <w:tblCellMar>
          <w:top w:w="0" w:type="dxa"/>
          <w:left w:w="108" w:type="dxa"/>
          <w:bottom w:w="0" w:type="dxa"/>
          <w:right w:w="108" w:type="dxa"/>
        </w:tblCellMar>
      </w:tblPr>
      <w:tblGrid>
        <w:gridCol w:w="573"/>
        <w:gridCol w:w="1827"/>
        <w:gridCol w:w="2892"/>
        <w:gridCol w:w="1065"/>
        <w:gridCol w:w="914"/>
        <w:gridCol w:w="828"/>
      </w:tblGrid>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rPr>
          <w:trHeight w:val="531" w:hRule="atLeast"/>
        </w:trPr>
        <w:tc>
          <w:tcPr>
            <w:tcW w:w="573" w:type="dxa"/>
            <w:vMerge w:val="restart"/>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No</w:t>
            </w:r>
          </w:p>
        </w:tc>
        <w:tc>
          <w:tcPr>
            <w:tcW w:w="1827" w:type="dxa"/>
            <w:vMerge w:val="restart"/>
            <w:shd w:val="clear" w:color="auto" w:fill="C2D69B"/>
            <w:vAlign w:val="center"/>
          </w:tcPr>
          <w:p>
            <w:pPr>
              <w:pStyle w:val="20"/>
              <w:numPr>
                <w:ilvl w:val="0"/>
                <w:numId w:val="0"/>
              </w:numPr>
              <w:rPr>
                <w:rFonts w:ascii="Tahoma" w:hAnsi="Tahoma" w:cs="Tahoma"/>
                <w:bCs w:val="0"/>
                <w:color w:val="000000"/>
                <w:sz w:val="20"/>
                <w:szCs w:val="20"/>
                <w:lang w:val="id-ID"/>
              </w:rPr>
            </w:pPr>
            <w:r>
              <w:rPr>
                <w:rFonts w:ascii="Tahoma" w:hAnsi="Tahoma" w:cs="Tahoma"/>
                <w:bCs w:val="0"/>
                <w:color w:val="000000"/>
                <w:sz w:val="20"/>
                <w:szCs w:val="20"/>
                <w:lang w:val="id-ID"/>
              </w:rPr>
              <w:t>SASARAN</w:t>
            </w:r>
          </w:p>
          <w:p>
            <w:pPr>
              <w:pStyle w:val="20"/>
              <w:numPr>
                <w:ilvl w:val="0"/>
                <w:numId w:val="0"/>
              </w:numPr>
              <w:rPr>
                <w:rFonts w:ascii="Tahoma" w:hAnsi="Tahoma" w:cs="Tahoma"/>
                <w:bCs w:val="0"/>
                <w:color w:val="000000"/>
                <w:sz w:val="20"/>
                <w:szCs w:val="20"/>
                <w:lang w:val="id-ID"/>
              </w:rPr>
            </w:pPr>
            <w:r>
              <w:rPr>
                <w:rFonts w:ascii="Tahoma" w:hAnsi="Tahoma" w:cs="Tahoma"/>
                <w:bCs w:val="0"/>
                <w:color w:val="000000"/>
                <w:sz w:val="20"/>
                <w:szCs w:val="20"/>
                <w:lang w:val="id-ID"/>
              </w:rPr>
              <w:t>STRATEGIS</w:t>
            </w:r>
          </w:p>
        </w:tc>
        <w:tc>
          <w:tcPr>
            <w:tcW w:w="2892" w:type="dxa"/>
            <w:vMerge w:val="restart"/>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INDIKATOR KINERJA</w:t>
            </w:r>
          </w:p>
        </w:tc>
        <w:tc>
          <w:tcPr>
            <w:tcW w:w="2807" w:type="dxa"/>
            <w:gridSpan w:val="3"/>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CAPAIAN KINERJA</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rPr>
          <w:trHeight w:val="155" w:hRule="atLeast"/>
        </w:trPr>
        <w:tc>
          <w:tcPr>
            <w:tcW w:w="573" w:type="dxa"/>
            <w:vMerge w:val="continue"/>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p>
        </w:tc>
        <w:tc>
          <w:tcPr>
            <w:tcW w:w="1827" w:type="dxa"/>
            <w:vMerge w:val="continue"/>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p>
        </w:tc>
        <w:tc>
          <w:tcPr>
            <w:tcW w:w="2892" w:type="dxa"/>
            <w:vMerge w:val="continue"/>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p>
        </w:tc>
        <w:tc>
          <w:tcPr>
            <w:tcW w:w="1065" w:type="dxa"/>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TARGET</w:t>
            </w:r>
          </w:p>
        </w:tc>
        <w:tc>
          <w:tcPr>
            <w:tcW w:w="914" w:type="dxa"/>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REALI SASI</w:t>
            </w:r>
          </w:p>
        </w:tc>
        <w:tc>
          <w:tcPr>
            <w:tcW w:w="828" w:type="dxa"/>
            <w:shd w:val="clear" w:color="auto" w:fill="C2D69B"/>
            <w:vAlign w:val="center"/>
          </w:tcPr>
          <w:p>
            <w:pPr>
              <w:pStyle w:val="20"/>
              <w:numPr>
                <w:ilvl w:val="0"/>
                <w:numId w:val="0"/>
              </w:numPr>
              <w:spacing w:before="120" w:after="120"/>
              <w:rPr>
                <w:rFonts w:ascii="Tahoma" w:hAnsi="Tahoma" w:cs="Tahoma"/>
                <w:bCs w:val="0"/>
                <w:color w:val="000000"/>
                <w:sz w:val="20"/>
                <w:szCs w:val="20"/>
                <w:lang w:val="id-ID"/>
              </w:rPr>
            </w:pPr>
            <w:r>
              <w:rPr>
                <w:rFonts w:ascii="Tahoma" w:hAnsi="Tahoma" w:cs="Tahoma"/>
                <w:bCs w:val="0"/>
                <w:color w:val="000000"/>
                <w:sz w:val="20"/>
                <w:szCs w:val="20"/>
                <w:lang w:val="id-ID"/>
              </w:rPr>
              <w:t>%</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rPr>
          <w:trHeight w:val="595" w:hRule="atLeast"/>
        </w:trPr>
        <w:tc>
          <w:tcPr>
            <w:tcW w:w="573"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4</w:t>
            </w:r>
          </w:p>
        </w:tc>
        <w:tc>
          <w:tcPr>
            <w:tcW w:w="1827" w:type="dxa"/>
            <w:shd w:val="clear" w:color="auto" w:fill="FFFFFF"/>
          </w:tcPr>
          <w:p>
            <w:pPr>
              <w:pStyle w:val="20"/>
              <w:numPr>
                <w:ilvl w:val="0"/>
                <w:numId w:val="0"/>
              </w:numPr>
              <w:spacing w:before="60" w:after="60"/>
              <w:ind w:left="175"/>
              <w:jc w:val="left"/>
              <w:rPr>
                <w:rFonts w:ascii="Tahoma" w:hAnsi="Tahoma" w:cs="Tahoma"/>
                <w:bCs w:val="0"/>
                <w:color w:val="000000"/>
                <w:sz w:val="18"/>
                <w:szCs w:val="18"/>
                <w:lang w:val="id-ID"/>
              </w:rPr>
            </w:pPr>
            <w:r>
              <w:rPr>
                <w:rFonts w:ascii="Tahoma" w:hAnsi="Tahoma" w:cs="Tahoma"/>
                <w:bCs w:val="0"/>
                <w:color w:val="000000"/>
                <w:sz w:val="18"/>
                <w:szCs w:val="18"/>
                <w:lang w:val="id-ID"/>
              </w:rPr>
              <w:t>Meningkatnya Kualitas Pelayanan Publik</w:t>
            </w:r>
          </w:p>
        </w:tc>
        <w:tc>
          <w:tcPr>
            <w:tcW w:w="2892" w:type="dxa"/>
            <w:shd w:val="clear" w:color="auto" w:fill="FFFFFF"/>
          </w:tcPr>
          <w:p>
            <w:pPr>
              <w:pStyle w:val="20"/>
              <w:numPr>
                <w:ilvl w:val="0"/>
                <w:numId w:val="0"/>
              </w:numPr>
              <w:spacing w:before="60" w:after="60"/>
              <w:ind w:left="-5"/>
              <w:jc w:val="left"/>
              <w:rPr>
                <w:rFonts w:ascii="Tahoma" w:hAnsi="Tahoma" w:cs="Tahoma"/>
                <w:b w:val="0"/>
                <w:bCs w:val="0"/>
                <w:color w:val="000000"/>
                <w:sz w:val="18"/>
                <w:szCs w:val="18"/>
                <w:lang w:val="id-ID"/>
              </w:rPr>
            </w:pPr>
            <w:r>
              <w:rPr>
                <w:rFonts w:ascii="Tahoma" w:hAnsi="Tahoma" w:cs="Tahoma"/>
                <w:b w:val="0"/>
                <w:bCs w:val="0"/>
                <w:color w:val="000000"/>
                <w:sz w:val="18"/>
                <w:szCs w:val="18"/>
              </w:rPr>
              <w:t xml:space="preserve">- </w:t>
            </w:r>
            <w:r>
              <w:rPr>
                <w:rFonts w:ascii="Tahoma" w:hAnsi="Tahoma" w:cs="Tahoma"/>
                <w:b w:val="0"/>
                <w:bCs w:val="0"/>
                <w:color w:val="000000"/>
                <w:sz w:val="18"/>
                <w:szCs w:val="18"/>
                <w:lang w:val="id-ID"/>
              </w:rPr>
              <w:t>Indek Kepuasan Masyarakat</w:t>
            </w:r>
          </w:p>
        </w:tc>
        <w:tc>
          <w:tcPr>
            <w:tcW w:w="1065" w:type="dxa"/>
            <w:shd w:val="clear" w:color="auto" w:fill="FFFFFF"/>
          </w:tcPr>
          <w:p>
            <w:pPr>
              <w:pStyle w:val="20"/>
              <w:numPr>
                <w:ilvl w:val="0"/>
                <w:numId w:val="0"/>
              </w:numPr>
              <w:spacing w:before="60" w:after="60"/>
              <w:rPr>
                <w:rFonts w:ascii="Tahoma" w:hAnsi="Tahoma" w:cs="Tahoma"/>
                <w:b w:val="0"/>
                <w:bCs w:val="0"/>
                <w:color w:val="000000"/>
                <w:sz w:val="18"/>
                <w:szCs w:val="18"/>
                <w:lang w:val="id-ID"/>
              </w:rPr>
            </w:pPr>
            <w:r>
              <w:rPr>
                <w:rFonts w:ascii="Tahoma" w:hAnsi="Tahoma" w:cs="Tahoma"/>
                <w:b w:val="0"/>
                <w:bCs w:val="0"/>
                <w:color w:val="000000"/>
                <w:sz w:val="18"/>
                <w:szCs w:val="18"/>
                <w:lang w:val="id-ID"/>
              </w:rPr>
              <w:t>Baik</w:t>
            </w:r>
          </w:p>
        </w:tc>
        <w:tc>
          <w:tcPr>
            <w:tcW w:w="914" w:type="dxa"/>
            <w:shd w:val="clear" w:color="auto" w:fill="FFFFFF"/>
          </w:tcPr>
          <w:p>
            <w:pPr>
              <w:pStyle w:val="20"/>
              <w:numPr>
                <w:ilvl w:val="0"/>
                <w:numId w:val="0"/>
              </w:numPr>
              <w:spacing w:before="60" w:after="60"/>
              <w:rPr>
                <w:rFonts w:ascii="Tahoma" w:hAnsi="Tahoma" w:cs="Tahoma"/>
                <w:b w:val="0"/>
                <w:bCs w:val="0"/>
                <w:sz w:val="18"/>
                <w:szCs w:val="18"/>
                <w:lang w:val="id-ID"/>
              </w:rPr>
            </w:pPr>
            <w:r>
              <w:rPr>
                <w:rFonts w:ascii="Tahoma" w:hAnsi="Tahoma" w:cs="Tahoma"/>
                <w:b w:val="0"/>
                <w:bCs w:val="0"/>
                <w:sz w:val="18"/>
                <w:szCs w:val="18"/>
                <w:lang w:val="id-ID"/>
              </w:rPr>
              <w:t>Baik</w:t>
            </w:r>
          </w:p>
        </w:tc>
        <w:tc>
          <w:tcPr>
            <w:tcW w:w="828" w:type="dxa"/>
            <w:shd w:val="clear" w:color="auto" w:fill="FFFFFF"/>
          </w:tcPr>
          <w:p>
            <w:pPr>
              <w:pStyle w:val="20"/>
              <w:numPr>
                <w:ilvl w:val="0"/>
                <w:numId w:val="0"/>
              </w:numPr>
              <w:spacing w:before="60" w:after="60"/>
              <w:rPr>
                <w:rFonts w:ascii="Tahoma" w:hAnsi="Tahoma" w:cs="Tahoma"/>
                <w:b w:val="0"/>
                <w:bCs w:val="0"/>
                <w:sz w:val="18"/>
                <w:szCs w:val="18"/>
                <w:lang w:val="id-ID"/>
              </w:rPr>
            </w:pPr>
            <w:r>
              <w:rPr>
                <w:rFonts w:ascii="Tahoma" w:hAnsi="Tahoma" w:cs="Tahoma"/>
                <w:b w:val="0"/>
                <w:bCs w:val="0"/>
                <w:sz w:val="18"/>
                <w:szCs w:val="18"/>
                <w:lang w:val="id-ID"/>
              </w:rPr>
              <w:t>100</w:t>
            </w:r>
          </w:p>
        </w:tc>
      </w:tr>
    </w:tbl>
    <w:p>
      <w:pPr>
        <w:spacing w:after="0" w:line="360" w:lineRule="auto"/>
        <w:jc w:val="both"/>
        <w:rPr>
          <w:sz w:val="24"/>
          <w:szCs w:val="24"/>
        </w:rPr>
      </w:pPr>
    </w:p>
    <w:p>
      <w:pPr>
        <w:pStyle w:val="30"/>
        <w:spacing w:before="100" w:beforeAutospacing="1" w:after="0" w:line="360" w:lineRule="auto"/>
        <w:ind w:left="425" w:firstLine="440" w:firstLineChars="200"/>
        <w:rPr>
          <w:rFonts w:ascii="Tahoma" w:hAnsi="Tahoma" w:cs="Tahoma"/>
          <w:b/>
          <w:bCs/>
        </w:rPr>
      </w:pPr>
      <w:r>
        <w:rPr>
          <w:rFonts w:ascii="Tahoma" w:hAnsi="Tahoma" w:cs="Tahoma"/>
          <w:b/>
          <w:bCs/>
        </w:rPr>
        <w:t xml:space="preserve">Program/kegiatan dan Anggaran </w:t>
      </w:r>
      <w:r>
        <w:rPr>
          <w:rFonts w:hint="default" w:ascii="Tahoma" w:hAnsi="Tahoma" w:cs="Tahoma"/>
          <w:b/>
          <w:bCs/>
          <w:lang w:val="en-US"/>
        </w:rPr>
        <w:t xml:space="preserve">dengan sasaran ini </w:t>
      </w:r>
      <w:r>
        <w:rPr>
          <w:rFonts w:ascii="Tahoma" w:hAnsi="Tahoma" w:cs="Tahoma"/>
          <w:b/>
          <w:bCs/>
        </w:rPr>
        <w:t>adalah:</w:t>
      </w:r>
    </w:p>
    <w:p>
      <w:pPr>
        <w:pStyle w:val="30"/>
        <w:spacing w:after="0" w:line="360" w:lineRule="auto"/>
        <w:ind w:left="880" w:leftChars="400" w:firstLine="0" w:firstLineChars="0"/>
        <w:rPr>
          <w:rFonts w:hint="default" w:ascii="Tahoma" w:hAnsi="Tahoma" w:cs="Tahoma"/>
          <w:iCs/>
          <w:lang w:val="en-US"/>
        </w:rPr>
      </w:pPr>
      <w:r>
        <w:rPr>
          <w:rFonts w:ascii="Tahoma" w:hAnsi="Tahoma" w:cs="Tahoma"/>
          <w:iCs/>
        </w:rPr>
        <w:t xml:space="preserve">Program : </w:t>
      </w:r>
      <w:r>
        <w:rPr>
          <w:rFonts w:hint="default" w:ascii="Tahoma" w:hAnsi="Tahoma" w:cs="Tahoma"/>
          <w:iCs/>
          <w:lang w:val="en-US"/>
        </w:rPr>
        <w:t>Peningkatan Pelayanan Publik</w:t>
      </w:r>
    </w:p>
    <w:p>
      <w:pPr>
        <w:pStyle w:val="30"/>
        <w:spacing w:after="0" w:line="360" w:lineRule="auto"/>
        <w:ind w:left="880" w:leftChars="400" w:firstLine="0" w:firstLineChars="0"/>
        <w:rPr>
          <w:rFonts w:ascii="Tahoma" w:hAnsi="Tahoma" w:cs="Tahoma"/>
          <w:iCs/>
        </w:rPr>
      </w:pPr>
      <w:r>
        <w:rPr>
          <w:rFonts w:ascii="Tahoma" w:hAnsi="Tahoma" w:cs="Tahoma"/>
          <w:iCs/>
        </w:rPr>
        <w:t>Kegiatan :</w:t>
      </w:r>
    </w:p>
    <w:p>
      <w:pPr>
        <w:numPr>
          <w:ilvl w:val="0"/>
          <w:numId w:val="42"/>
        </w:numPr>
        <w:tabs>
          <w:tab w:val="clear" w:pos="425"/>
        </w:tabs>
        <w:autoSpaceDE w:val="0"/>
        <w:autoSpaceDN w:val="0"/>
        <w:adjustRightInd w:val="0"/>
        <w:spacing w:after="0" w:line="360" w:lineRule="auto"/>
        <w:ind w:left="1305" w:leftChars="0" w:hanging="425" w:firstLineChars="0"/>
        <w:jc w:val="both"/>
        <w:rPr>
          <w:rFonts w:ascii="Tahoma" w:hAnsi="Tahoma" w:cs="Tahoma"/>
          <w:bCs/>
        </w:rPr>
      </w:pPr>
      <w:r>
        <w:rPr>
          <w:rFonts w:hint="default" w:ascii="Tahoma" w:hAnsi="Tahoma" w:cs="Tahoma"/>
          <w:bCs/>
          <w:lang w:val="en-US"/>
        </w:rPr>
        <w:t>Pengembangan Sistem Informasi Manajemen Samsat Link</w:t>
      </w:r>
      <w:r>
        <w:rPr>
          <w:rFonts w:ascii="Tahoma" w:hAnsi="Tahoma" w:cs="Tahoma"/>
          <w:bCs/>
        </w:rPr>
        <w:t xml:space="preserve"> dengan anggaran sebesar Rp. </w:t>
      </w:r>
      <w:r>
        <w:rPr>
          <w:rFonts w:hint="default" w:ascii="Tahoma" w:hAnsi="Tahoma" w:cs="Tahoma"/>
          <w:bCs/>
          <w:lang w:val="en-US"/>
        </w:rPr>
        <w:t>1.240.180.600</w:t>
      </w:r>
      <w:r>
        <w:rPr>
          <w:rFonts w:ascii="Tahoma" w:hAnsi="Tahoma" w:cs="Tahoma"/>
          <w:bCs/>
        </w:rPr>
        <w:t>,-</w:t>
      </w:r>
    </w:p>
    <w:p>
      <w:pPr>
        <w:spacing w:after="0" w:line="360" w:lineRule="auto"/>
        <w:jc w:val="both"/>
        <w:rPr>
          <w:sz w:val="24"/>
          <w:szCs w:val="24"/>
        </w:rPr>
      </w:pPr>
    </w:p>
    <w:p>
      <w:pPr>
        <w:spacing w:after="0" w:line="360" w:lineRule="auto"/>
        <w:jc w:val="both"/>
        <w:rPr>
          <w:sz w:val="24"/>
          <w:szCs w:val="24"/>
        </w:rPr>
      </w:pPr>
    </w:p>
    <w:p>
      <w:pPr>
        <w:spacing w:after="0" w:line="360" w:lineRule="auto"/>
        <w:jc w:val="both"/>
        <w:rPr>
          <w:sz w:val="24"/>
          <w:szCs w:val="24"/>
        </w:rPr>
      </w:pPr>
    </w:p>
    <w:p>
      <w:pPr>
        <w:spacing w:after="0" w:line="360" w:lineRule="auto"/>
        <w:jc w:val="both"/>
        <w:rPr>
          <w:sz w:val="24"/>
          <w:szCs w:val="24"/>
        </w:rPr>
      </w:pPr>
    </w:p>
    <w:p>
      <w:pPr>
        <w:spacing w:after="0" w:line="360" w:lineRule="auto"/>
        <w:jc w:val="both"/>
        <w:rPr>
          <w:sz w:val="24"/>
          <w:szCs w:val="24"/>
        </w:rPr>
      </w:pPr>
    </w:p>
    <w:p>
      <w:pPr>
        <w:pStyle w:val="20"/>
        <w:numPr>
          <w:ilvl w:val="0"/>
          <w:numId w:val="28"/>
        </w:numPr>
        <w:tabs>
          <w:tab w:val="left" w:pos="851"/>
        </w:tabs>
        <w:jc w:val="both"/>
        <w:rPr>
          <w:rFonts w:ascii="Tahoma" w:hAnsi="Tahoma" w:cs="Tahoma"/>
          <w:sz w:val="22"/>
          <w:szCs w:val="22"/>
          <w:lang w:val="id-ID"/>
        </w:rPr>
      </w:pPr>
      <w:r>
        <w:rPr>
          <w:rFonts w:ascii="Tahoma" w:hAnsi="Tahoma" w:cs="Tahoma"/>
          <w:sz w:val="22"/>
          <w:szCs w:val="22"/>
          <w:lang w:val="id-ID"/>
        </w:rPr>
        <w:t>Tata Kelola Organisasi</w:t>
      </w:r>
    </w:p>
    <w:p>
      <w:pPr>
        <w:tabs>
          <w:tab w:val="left" w:pos="540"/>
        </w:tabs>
        <w:spacing w:after="0" w:line="240" w:lineRule="auto"/>
        <w:jc w:val="both"/>
        <w:rPr>
          <w:rFonts w:ascii="Tahoma" w:hAnsi="Tahoma" w:cs="Tahoma"/>
          <w:color w:val="000000"/>
          <w:lang w:val="id-ID"/>
        </w:rPr>
      </w:pPr>
    </w:p>
    <w:p>
      <w:pPr>
        <w:spacing w:after="0" w:line="360" w:lineRule="auto"/>
        <w:ind w:left="880"/>
        <w:jc w:val="both"/>
        <w:rPr>
          <w:rFonts w:ascii="Tahoma" w:hAnsi="Tahoma" w:cs="Tahoma"/>
          <w:bCs/>
          <w:color w:val="000000"/>
          <w:lang w:val="id-ID"/>
        </w:rPr>
      </w:pPr>
      <w:r>
        <w:rPr>
          <w:rFonts w:ascii="Tahoma" w:hAnsi="Tahoma" w:cs="Tahoma"/>
          <w:bCs/>
          <w:color w:val="000000"/>
          <w:lang w:val="id-ID"/>
        </w:rPr>
        <w:t xml:space="preserve">Nilai Evaluasi Akuntabilitas Kinerja ini pengukurannya diambil dari </w:t>
      </w:r>
      <w:r>
        <w:rPr>
          <w:rFonts w:ascii="Tahoma" w:hAnsi="Tahoma" w:cs="Tahoma"/>
          <w:bCs/>
          <w:color w:val="000000"/>
        </w:rPr>
        <w:t>p</w:t>
      </w:r>
      <w:r>
        <w:rPr>
          <w:rFonts w:ascii="Tahoma" w:hAnsi="Tahoma" w:cs="Tahoma"/>
          <w:bCs/>
          <w:color w:val="000000"/>
          <w:lang w:val="id-ID"/>
        </w:rPr>
        <w:t xml:space="preserve">enilaian yang dilakukan oleh Inspektorat terhadap laporan kinerja SKPD tahun sebelumnya. Dimana </w:t>
      </w:r>
      <w:r>
        <w:rPr>
          <w:rFonts w:ascii="Tahoma" w:hAnsi="Tahoma" w:cs="Tahoma"/>
          <w:bCs/>
          <w:color w:val="000000"/>
        </w:rPr>
        <w:t>n</w:t>
      </w:r>
      <w:r>
        <w:rPr>
          <w:rFonts w:ascii="Tahoma" w:hAnsi="Tahoma" w:cs="Tahoma"/>
          <w:bCs/>
          <w:color w:val="000000"/>
          <w:lang w:val="id-ID"/>
        </w:rPr>
        <w:t xml:space="preserve">ilai yang diambil adalah nilai tahun lalu. Pada tahun 2016 yang lalu nilai </w:t>
      </w:r>
      <w:r>
        <w:rPr>
          <w:rFonts w:ascii="Tahoma" w:hAnsi="Tahoma" w:cs="Tahoma"/>
          <w:bCs/>
          <w:color w:val="000000"/>
        </w:rPr>
        <w:t>k</w:t>
      </w:r>
      <w:r>
        <w:rPr>
          <w:rFonts w:ascii="Tahoma" w:hAnsi="Tahoma" w:cs="Tahoma"/>
          <w:bCs/>
          <w:color w:val="000000"/>
          <w:lang w:val="id-ID"/>
        </w:rPr>
        <w:t>inerja dari Badan Keuangan Daerah mendapat nilai 78</w:t>
      </w:r>
      <w:r>
        <w:rPr>
          <w:rFonts w:ascii="Tahoma" w:hAnsi="Tahoma" w:cs="Tahoma"/>
          <w:bCs/>
          <w:color w:val="000000"/>
        </w:rPr>
        <w:t>,</w:t>
      </w:r>
      <w:r>
        <w:rPr>
          <w:rFonts w:ascii="Tahoma" w:hAnsi="Tahoma" w:cs="Tahoma"/>
          <w:bCs/>
          <w:color w:val="000000"/>
          <w:lang w:val="id-ID"/>
        </w:rPr>
        <w:t>77% dan berada dalam katagori penilai</w:t>
      </w:r>
      <w:r>
        <w:rPr>
          <w:rFonts w:ascii="Tahoma" w:hAnsi="Tahoma" w:cs="Tahoma"/>
          <w:bCs/>
          <w:color w:val="000000"/>
        </w:rPr>
        <w:t>a</w:t>
      </w:r>
      <w:r>
        <w:rPr>
          <w:rFonts w:ascii="Tahoma" w:hAnsi="Tahoma" w:cs="Tahoma"/>
          <w:bCs/>
          <w:color w:val="000000"/>
          <w:lang w:val="id-ID"/>
        </w:rPr>
        <w:t>n BB. Dan di tahun 2017 kemaren mendapatkan nilai 81,26% atau dengan kategori A.</w:t>
      </w:r>
      <w:r>
        <w:rPr>
          <w:rFonts w:ascii="Tahoma" w:hAnsi="Tahoma" w:cs="Tahoma"/>
          <w:bCs/>
          <w:color w:val="000000"/>
        </w:rPr>
        <w:t xml:space="preserve"> </w:t>
      </w:r>
      <w:r>
        <w:rPr>
          <w:rFonts w:ascii="Tahoma" w:hAnsi="Tahoma" w:cs="Tahoma"/>
          <w:bCs/>
          <w:color w:val="000000"/>
          <w:lang w:val="id-ID"/>
        </w:rPr>
        <w:t xml:space="preserve">Tahun 2018 nilai 83,01% dengan kategori A. </w:t>
      </w:r>
      <w:r>
        <w:rPr>
          <w:rFonts w:hint="default" w:ascii="Tahoma" w:hAnsi="Tahoma" w:cs="Tahoma"/>
          <w:bCs/>
          <w:color w:val="000000"/>
          <w:lang w:val="en-US"/>
        </w:rPr>
        <w:t>T</w:t>
      </w:r>
      <w:r>
        <w:rPr>
          <w:rFonts w:ascii="Tahoma" w:hAnsi="Tahoma" w:cs="Tahoma"/>
          <w:bCs/>
          <w:color w:val="000000"/>
          <w:lang w:val="id-ID"/>
        </w:rPr>
        <w:t>ahun 2019 dengan nilai 83,20 dengan nilai A</w:t>
      </w:r>
      <w:r>
        <w:rPr>
          <w:rFonts w:hint="default" w:ascii="Tahoma" w:hAnsi="Tahoma" w:cs="Tahoma"/>
          <w:bCs/>
          <w:color w:val="000000"/>
          <w:lang w:val="en-US"/>
        </w:rPr>
        <w:t>.</w:t>
      </w:r>
      <w:r>
        <w:rPr>
          <w:rFonts w:ascii="Tahoma" w:hAnsi="Tahoma" w:cs="Tahoma"/>
          <w:bCs/>
          <w:color w:val="000000"/>
          <w:lang w:val="id-ID"/>
        </w:rPr>
        <w:t xml:space="preserve"> </w:t>
      </w:r>
    </w:p>
    <w:p>
      <w:pPr>
        <w:pStyle w:val="20"/>
        <w:numPr>
          <w:ilvl w:val="0"/>
          <w:numId w:val="0"/>
        </w:numPr>
        <w:jc w:val="both"/>
        <w:rPr>
          <w:rFonts w:ascii="Tahoma" w:hAnsi="Tahoma" w:cs="Tahoma"/>
          <w:bCs w:val="0"/>
          <w:color w:val="000000"/>
          <w:sz w:val="22"/>
          <w:szCs w:val="22"/>
          <w:lang w:val="id-ID"/>
        </w:rPr>
      </w:pPr>
    </w:p>
    <w:p>
      <w:pPr>
        <w:pStyle w:val="20"/>
        <w:numPr>
          <w:ilvl w:val="0"/>
          <w:numId w:val="0"/>
        </w:numPr>
        <w:ind w:left="850" w:hanging="11"/>
        <w:rPr>
          <w:rFonts w:hint="default" w:ascii="Tahoma" w:hAnsi="Tahoma" w:cs="Tahoma"/>
          <w:bCs w:val="0"/>
          <w:color w:val="000000"/>
          <w:sz w:val="22"/>
          <w:szCs w:val="22"/>
          <w:lang w:val="en-US"/>
        </w:rPr>
      </w:pPr>
      <w:r>
        <w:rPr>
          <w:rFonts w:ascii="Tahoma" w:hAnsi="Tahoma" w:cs="Tahoma"/>
          <w:bCs w:val="0"/>
          <w:color w:val="000000"/>
          <w:sz w:val="22"/>
          <w:szCs w:val="22"/>
          <w:lang w:val="id-ID"/>
        </w:rPr>
        <w:t xml:space="preserve">Tabel </w:t>
      </w:r>
      <w:r>
        <w:rPr>
          <w:rFonts w:ascii="Tahoma" w:hAnsi="Tahoma" w:cs="Tahoma"/>
          <w:bCs w:val="0"/>
          <w:color w:val="000000"/>
          <w:sz w:val="22"/>
          <w:szCs w:val="22"/>
        </w:rPr>
        <w:t>3.</w:t>
      </w:r>
      <w:r>
        <w:rPr>
          <w:rFonts w:hint="default" w:ascii="Tahoma" w:hAnsi="Tahoma" w:cs="Tahoma"/>
          <w:bCs w:val="0"/>
          <w:color w:val="000000"/>
          <w:sz w:val="22"/>
          <w:szCs w:val="22"/>
          <w:lang w:val="en-US"/>
        </w:rPr>
        <w:t>11</w:t>
      </w:r>
    </w:p>
    <w:p>
      <w:pPr>
        <w:pStyle w:val="20"/>
        <w:numPr>
          <w:ilvl w:val="0"/>
          <w:numId w:val="0"/>
        </w:numPr>
        <w:spacing w:afterLines="50"/>
        <w:ind w:left="850" w:hanging="11"/>
        <w:rPr>
          <w:rFonts w:ascii="Tahoma" w:hAnsi="Tahoma" w:cs="Tahoma"/>
          <w:bCs w:val="0"/>
          <w:color w:val="000000"/>
          <w:sz w:val="22"/>
          <w:szCs w:val="22"/>
          <w:lang w:val="id-ID"/>
        </w:rPr>
      </w:pPr>
      <w:r>
        <w:rPr>
          <w:rFonts w:ascii="Tahoma" w:hAnsi="Tahoma" w:cs="Tahoma"/>
          <w:bCs w:val="0"/>
          <w:color w:val="000000"/>
          <w:sz w:val="22"/>
          <w:szCs w:val="22"/>
          <w:lang w:val="id-ID"/>
        </w:rPr>
        <w:t>Nilai Evaluasi Akuntabilitas</w:t>
      </w:r>
    </w:p>
    <w:tbl>
      <w:tblPr>
        <w:tblStyle w:val="7"/>
        <w:tblW w:w="8316" w:type="dxa"/>
        <w:tblInd w:w="956" w:type="dxa"/>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Layout w:type="fixed"/>
        <w:tblCellMar>
          <w:top w:w="0" w:type="dxa"/>
          <w:left w:w="108" w:type="dxa"/>
          <w:bottom w:w="0" w:type="dxa"/>
          <w:right w:w="108" w:type="dxa"/>
        </w:tblCellMar>
      </w:tblPr>
      <w:tblGrid>
        <w:gridCol w:w="573"/>
        <w:gridCol w:w="1556"/>
        <w:gridCol w:w="2892"/>
        <w:gridCol w:w="1298"/>
        <w:gridCol w:w="1004"/>
        <w:gridCol w:w="993"/>
      </w:tblGrid>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rPr>
          <w:trHeight w:val="531" w:hRule="atLeast"/>
        </w:trPr>
        <w:tc>
          <w:tcPr>
            <w:tcW w:w="573" w:type="dxa"/>
            <w:vMerge w:val="restart"/>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r>
              <w:rPr>
                <w:rFonts w:ascii="Tahoma" w:hAnsi="Tahoma" w:cs="Tahoma"/>
                <w:bCs w:val="0"/>
                <w:color w:val="000000"/>
                <w:sz w:val="22"/>
                <w:szCs w:val="22"/>
                <w:lang w:val="id-ID"/>
              </w:rPr>
              <w:t>No</w:t>
            </w:r>
          </w:p>
        </w:tc>
        <w:tc>
          <w:tcPr>
            <w:tcW w:w="1556" w:type="dxa"/>
            <w:vMerge w:val="restart"/>
            <w:shd w:val="clear" w:color="auto" w:fill="C2D69B"/>
            <w:vAlign w:val="center"/>
          </w:tcPr>
          <w:p>
            <w:pPr>
              <w:pStyle w:val="20"/>
              <w:numPr>
                <w:ilvl w:val="0"/>
                <w:numId w:val="0"/>
              </w:numPr>
              <w:rPr>
                <w:rFonts w:ascii="Tahoma" w:hAnsi="Tahoma" w:cs="Tahoma"/>
                <w:bCs w:val="0"/>
                <w:color w:val="000000"/>
                <w:sz w:val="22"/>
                <w:szCs w:val="22"/>
                <w:lang w:val="id-ID"/>
              </w:rPr>
            </w:pPr>
            <w:r>
              <w:rPr>
                <w:rFonts w:ascii="Tahoma" w:hAnsi="Tahoma" w:cs="Tahoma"/>
                <w:bCs w:val="0"/>
                <w:color w:val="000000"/>
                <w:sz w:val="22"/>
                <w:szCs w:val="22"/>
                <w:lang w:val="id-ID"/>
              </w:rPr>
              <w:t>SASARAN</w:t>
            </w:r>
          </w:p>
          <w:p>
            <w:pPr>
              <w:pStyle w:val="20"/>
              <w:numPr>
                <w:ilvl w:val="0"/>
                <w:numId w:val="0"/>
              </w:numPr>
              <w:rPr>
                <w:rFonts w:ascii="Tahoma" w:hAnsi="Tahoma" w:cs="Tahoma"/>
                <w:bCs w:val="0"/>
                <w:color w:val="000000"/>
                <w:sz w:val="22"/>
                <w:szCs w:val="22"/>
                <w:lang w:val="id-ID"/>
              </w:rPr>
            </w:pPr>
            <w:r>
              <w:rPr>
                <w:rFonts w:ascii="Tahoma" w:hAnsi="Tahoma" w:cs="Tahoma"/>
                <w:bCs w:val="0"/>
                <w:color w:val="000000"/>
                <w:sz w:val="22"/>
                <w:szCs w:val="22"/>
                <w:lang w:val="id-ID"/>
              </w:rPr>
              <w:t>STRATEGIS</w:t>
            </w:r>
          </w:p>
        </w:tc>
        <w:tc>
          <w:tcPr>
            <w:tcW w:w="2892" w:type="dxa"/>
            <w:vMerge w:val="restart"/>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r>
              <w:rPr>
                <w:rFonts w:ascii="Tahoma" w:hAnsi="Tahoma" w:cs="Tahoma"/>
                <w:bCs w:val="0"/>
                <w:color w:val="000000"/>
                <w:sz w:val="22"/>
                <w:szCs w:val="22"/>
                <w:lang w:val="id-ID"/>
              </w:rPr>
              <w:t>INDIKATOR KINERJA</w:t>
            </w:r>
          </w:p>
        </w:tc>
        <w:tc>
          <w:tcPr>
            <w:tcW w:w="3295" w:type="dxa"/>
            <w:gridSpan w:val="3"/>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r>
              <w:rPr>
                <w:rFonts w:ascii="Tahoma" w:hAnsi="Tahoma" w:cs="Tahoma"/>
                <w:bCs w:val="0"/>
                <w:color w:val="000000"/>
                <w:sz w:val="22"/>
                <w:szCs w:val="22"/>
                <w:lang w:val="id-ID"/>
              </w:rPr>
              <w:t>CAPAIAN KINERJA</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rPr>
          <w:trHeight w:val="155" w:hRule="atLeast"/>
        </w:trPr>
        <w:tc>
          <w:tcPr>
            <w:tcW w:w="573" w:type="dxa"/>
            <w:vMerge w:val="continue"/>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p>
        </w:tc>
        <w:tc>
          <w:tcPr>
            <w:tcW w:w="1556" w:type="dxa"/>
            <w:vMerge w:val="continue"/>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p>
        </w:tc>
        <w:tc>
          <w:tcPr>
            <w:tcW w:w="2892" w:type="dxa"/>
            <w:vMerge w:val="continue"/>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p>
        </w:tc>
        <w:tc>
          <w:tcPr>
            <w:tcW w:w="1298" w:type="dxa"/>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r>
              <w:rPr>
                <w:rFonts w:ascii="Tahoma" w:hAnsi="Tahoma" w:cs="Tahoma"/>
                <w:bCs w:val="0"/>
                <w:color w:val="000000"/>
                <w:sz w:val="22"/>
                <w:szCs w:val="22"/>
                <w:lang w:val="id-ID"/>
              </w:rPr>
              <w:t>TARGET</w:t>
            </w:r>
          </w:p>
        </w:tc>
        <w:tc>
          <w:tcPr>
            <w:tcW w:w="1004" w:type="dxa"/>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r>
              <w:rPr>
                <w:rFonts w:ascii="Tahoma" w:hAnsi="Tahoma" w:cs="Tahoma"/>
                <w:bCs w:val="0"/>
                <w:color w:val="000000"/>
                <w:sz w:val="22"/>
                <w:szCs w:val="22"/>
                <w:lang w:val="id-ID"/>
              </w:rPr>
              <w:t>REALI SASI</w:t>
            </w:r>
          </w:p>
        </w:tc>
        <w:tc>
          <w:tcPr>
            <w:tcW w:w="993" w:type="dxa"/>
            <w:shd w:val="clear" w:color="auto" w:fill="C2D69B"/>
            <w:vAlign w:val="center"/>
          </w:tcPr>
          <w:p>
            <w:pPr>
              <w:pStyle w:val="20"/>
              <w:numPr>
                <w:ilvl w:val="0"/>
                <w:numId w:val="0"/>
              </w:numPr>
              <w:spacing w:before="120" w:after="120"/>
              <w:rPr>
                <w:rFonts w:ascii="Tahoma" w:hAnsi="Tahoma" w:cs="Tahoma"/>
                <w:bCs w:val="0"/>
                <w:color w:val="000000"/>
                <w:sz w:val="22"/>
                <w:szCs w:val="22"/>
                <w:lang w:val="id-ID"/>
              </w:rPr>
            </w:pPr>
            <w:r>
              <w:rPr>
                <w:rFonts w:ascii="Tahoma" w:hAnsi="Tahoma" w:cs="Tahoma"/>
                <w:bCs w:val="0"/>
                <w:color w:val="000000"/>
                <w:sz w:val="22"/>
                <w:szCs w:val="22"/>
                <w:lang w:val="id-ID"/>
              </w:rPr>
              <w:t>%</w:t>
            </w:r>
          </w:p>
        </w:tc>
      </w:tr>
      <w:tr>
        <w:tblPrEx>
          <w:tblBorders>
            <w:top w:val="single" w:color="76923C" w:sz="4" w:space="0"/>
            <w:left w:val="single" w:color="76923C" w:sz="4" w:space="0"/>
            <w:bottom w:val="single" w:color="76923C" w:sz="4" w:space="0"/>
            <w:right w:val="single" w:color="76923C" w:sz="4" w:space="0"/>
            <w:insideH w:val="single" w:color="000000" w:sz="4" w:space="0"/>
            <w:insideV w:val="single" w:color="76923C" w:sz="4" w:space="0"/>
          </w:tblBorders>
          <w:tblCellMar>
            <w:top w:w="0" w:type="dxa"/>
            <w:left w:w="108" w:type="dxa"/>
            <w:bottom w:w="0" w:type="dxa"/>
            <w:right w:w="108" w:type="dxa"/>
          </w:tblCellMar>
        </w:tblPrEx>
        <w:trPr>
          <w:trHeight w:val="595" w:hRule="atLeast"/>
        </w:trPr>
        <w:tc>
          <w:tcPr>
            <w:tcW w:w="573" w:type="dxa"/>
            <w:shd w:val="clear" w:color="auto" w:fill="FFFFFF"/>
          </w:tcPr>
          <w:p>
            <w:pPr>
              <w:pStyle w:val="20"/>
              <w:numPr>
                <w:ilvl w:val="0"/>
                <w:numId w:val="0"/>
              </w:numPr>
              <w:spacing w:before="60" w:after="60"/>
              <w:rPr>
                <w:rFonts w:ascii="Tahoma" w:hAnsi="Tahoma" w:cs="Tahoma"/>
                <w:b w:val="0"/>
                <w:bCs w:val="0"/>
                <w:color w:val="000000"/>
                <w:sz w:val="20"/>
                <w:szCs w:val="20"/>
                <w:lang w:val="id-ID"/>
              </w:rPr>
            </w:pPr>
            <w:r>
              <w:rPr>
                <w:rFonts w:ascii="Tahoma" w:hAnsi="Tahoma" w:cs="Tahoma"/>
                <w:b w:val="0"/>
                <w:bCs w:val="0"/>
                <w:color w:val="000000"/>
                <w:sz w:val="20"/>
                <w:szCs w:val="20"/>
                <w:lang w:val="id-ID"/>
              </w:rPr>
              <w:t>5</w:t>
            </w:r>
          </w:p>
        </w:tc>
        <w:tc>
          <w:tcPr>
            <w:tcW w:w="1556" w:type="dxa"/>
            <w:shd w:val="clear" w:color="auto" w:fill="FFFFFF"/>
          </w:tcPr>
          <w:p>
            <w:pPr>
              <w:pStyle w:val="20"/>
              <w:numPr>
                <w:ilvl w:val="0"/>
                <w:numId w:val="0"/>
              </w:numPr>
              <w:spacing w:before="60" w:after="60"/>
              <w:ind w:left="175"/>
              <w:jc w:val="left"/>
              <w:rPr>
                <w:rFonts w:ascii="Tahoma" w:hAnsi="Tahoma" w:cs="Tahoma"/>
                <w:bCs w:val="0"/>
                <w:color w:val="000000"/>
                <w:sz w:val="20"/>
                <w:szCs w:val="20"/>
                <w:lang w:val="id-ID"/>
              </w:rPr>
            </w:pPr>
            <w:r>
              <w:rPr>
                <w:rFonts w:ascii="Tahoma" w:hAnsi="Tahoma" w:cs="Tahoma"/>
                <w:bCs w:val="0"/>
                <w:color w:val="000000"/>
                <w:sz w:val="20"/>
                <w:szCs w:val="20"/>
                <w:lang w:val="id-ID"/>
              </w:rPr>
              <w:t xml:space="preserve">Meningkatnya Tata Kelola Organisasi </w:t>
            </w:r>
          </w:p>
        </w:tc>
        <w:tc>
          <w:tcPr>
            <w:tcW w:w="2892" w:type="dxa"/>
            <w:shd w:val="clear" w:color="auto" w:fill="FFFFFF"/>
          </w:tcPr>
          <w:p>
            <w:pPr>
              <w:pStyle w:val="20"/>
              <w:numPr>
                <w:ilvl w:val="0"/>
                <w:numId w:val="0"/>
              </w:numPr>
              <w:spacing w:before="60" w:after="60"/>
              <w:ind w:left="220" w:hanging="220" w:hangingChars="110"/>
              <w:jc w:val="left"/>
              <w:rPr>
                <w:rFonts w:ascii="Tahoma" w:hAnsi="Tahoma" w:cs="Tahoma"/>
                <w:b w:val="0"/>
                <w:bCs w:val="0"/>
                <w:color w:val="000000"/>
                <w:sz w:val="20"/>
                <w:szCs w:val="20"/>
                <w:lang w:val="id-ID"/>
              </w:rPr>
            </w:pPr>
            <w:r>
              <w:rPr>
                <w:rFonts w:ascii="Tahoma" w:hAnsi="Tahoma" w:cs="Tahoma"/>
                <w:b w:val="0"/>
                <w:bCs w:val="0"/>
                <w:color w:val="000000"/>
                <w:sz w:val="20"/>
                <w:szCs w:val="20"/>
              </w:rPr>
              <w:t xml:space="preserve">-  </w:t>
            </w:r>
            <w:r>
              <w:rPr>
                <w:rFonts w:ascii="Tahoma" w:hAnsi="Tahoma" w:cs="Tahoma"/>
                <w:b w:val="0"/>
                <w:bCs w:val="0"/>
                <w:color w:val="000000"/>
                <w:sz w:val="20"/>
                <w:szCs w:val="20"/>
                <w:lang w:val="id-ID"/>
              </w:rPr>
              <w:t>Nilai Evaluasi Akuntabilitas Kinerja</w:t>
            </w:r>
          </w:p>
        </w:tc>
        <w:tc>
          <w:tcPr>
            <w:tcW w:w="1298" w:type="dxa"/>
            <w:shd w:val="clear" w:color="auto" w:fill="FFFFFF"/>
          </w:tcPr>
          <w:p>
            <w:pPr>
              <w:pStyle w:val="20"/>
              <w:numPr>
                <w:ilvl w:val="0"/>
                <w:numId w:val="0"/>
              </w:numPr>
              <w:spacing w:before="60" w:after="60"/>
              <w:rPr>
                <w:rFonts w:ascii="Tahoma" w:hAnsi="Tahoma" w:cs="Tahoma"/>
                <w:b w:val="0"/>
                <w:bCs w:val="0"/>
                <w:color w:val="000000"/>
                <w:sz w:val="20"/>
                <w:szCs w:val="20"/>
                <w:lang w:val="id-ID"/>
              </w:rPr>
            </w:pPr>
            <w:r>
              <w:rPr>
                <w:rFonts w:ascii="Tahoma" w:hAnsi="Tahoma" w:cs="Tahoma"/>
                <w:b w:val="0"/>
                <w:bCs w:val="0"/>
                <w:color w:val="000000"/>
                <w:sz w:val="20"/>
                <w:szCs w:val="20"/>
                <w:lang w:val="id-ID"/>
              </w:rPr>
              <w:t>A</w:t>
            </w:r>
          </w:p>
        </w:tc>
        <w:tc>
          <w:tcPr>
            <w:tcW w:w="1004" w:type="dxa"/>
            <w:shd w:val="clear" w:color="auto" w:fill="FFFFFF"/>
          </w:tcPr>
          <w:p>
            <w:pPr>
              <w:pStyle w:val="20"/>
              <w:numPr>
                <w:ilvl w:val="0"/>
                <w:numId w:val="0"/>
              </w:numPr>
              <w:spacing w:before="60" w:after="60"/>
              <w:rPr>
                <w:rFonts w:ascii="Tahoma" w:hAnsi="Tahoma" w:cs="Tahoma"/>
                <w:b w:val="0"/>
                <w:bCs w:val="0"/>
                <w:sz w:val="20"/>
                <w:szCs w:val="20"/>
                <w:lang w:val="id-ID"/>
              </w:rPr>
            </w:pPr>
            <w:r>
              <w:rPr>
                <w:rFonts w:ascii="Tahoma" w:hAnsi="Tahoma" w:cs="Tahoma"/>
                <w:b w:val="0"/>
                <w:bCs w:val="0"/>
                <w:sz w:val="20"/>
                <w:szCs w:val="20"/>
                <w:lang w:val="id-ID"/>
              </w:rPr>
              <w:t>A</w:t>
            </w:r>
          </w:p>
        </w:tc>
        <w:tc>
          <w:tcPr>
            <w:tcW w:w="993" w:type="dxa"/>
            <w:shd w:val="clear" w:color="auto" w:fill="FFFFFF"/>
          </w:tcPr>
          <w:p>
            <w:pPr>
              <w:pStyle w:val="20"/>
              <w:numPr>
                <w:ilvl w:val="0"/>
                <w:numId w:val="0"/>
              </w:numPr>
              <w:spacing w:before="60" w:after="60"/>
              <w:rPr>
                <w:rFonts w:ascii="Tahoma" w:hAnsi="Tahoma" w:cs="Tahoma"/>
                <w:b w:val="0"/>
                <w:bCs w:val="0"/>
                <w:sz w:val="20"/>
                <w:szCs w:val="20"/>
                <w:lang w:val="id-ID"/>
              </w:rPr>
            </w:pPr>
            <w:r>
              <w:rPr>
                <w:rFonts w:ascii="Tahoma" w:hAnsi="Tahoma" w:cs="Tahoma"/>
                <w:b w:val="0"/>
                <w:bCs w:val="0"/>
                <w:sz w:val="20"/>
                <w:szCs w:val="20"/>
                <w:lang w:val="id-ID"/>
              </w:rPr>
              <w:t>10</w:t>
            </w:r>
            <w:r>
              <w:rPr>
                <w:rFonts w:hint="default" w:ascii="Tahoma" w:hAnsi="Tahoma" w:cs="Tahoma"/>
                <w:b w:val="0"/>
                <w:bCs w:val="0"/>
                <w:sz w:val="20"/>
                <w:szCs w:val="20"/>
                <w:lang w:val="en-US"/>
              </w:rPr>
              <w:t>0</w:t>
            </w:r>
          </w:p>
        </w:tc>
      </w:tr>
    </w:tbl>
    <w:p>
      <w:pPr>
        <w:pStyle w:val="10"/>
        <w:tabs>
          <w:tab w:val="left" w:pos="440"/>
        </w:tabs>
        <w:spacing w:before="120" w:after="120"/>
        <w:ind w:left="1100" w:leftChars="500" w:firstLine="0"/>
        <w:rPr>
          <w:rFonts w:ascii="Tahoma" w:hAnsi="Tahoma" w:cs="Tahoma"/>
          <w:sz w:val="22"/>
          <w:szCs w:val="22"/>
          <w:lang w:val="id-ID"/>
        </w:rPr>
      </w:pPr>
    </w:p>
    <w:p>
      <w:pPr>
        <w:spacing w:after="0" w:line="360" w:lineRule="auto"/>
        <w:jc w:val="both"/>
        <w:rPr>
          <w:rFonts w:ascii="Tahoma" w:hAnsi="Tahoma" w:cs="Tahoma"/>
          <w:bCs/>
          <w:color w:val="000000"/>
          <w:lang w:val="id-ID"/>
        </w:rPr>
      </w:pPr>
    </w:p>
    <w:p>
      <w:pPr>
        <w:pStyle w:val="20"/>
        <w:numPr>
          <w:ilvl w:val="0"/>
          <w:numId w:val="25"/>
        </w:numPr>
        <w:tabs>
          <w:tab w:val="clear" w:pos="1080"/>
        </w:tabs>
        <w:ind w:left="442" w:hanging="442"/>
        <w:jc w:val="left"/>
        <w:rPr>
          <w:rFonts w:ascii="Tahoma" w:hAnsi="Tahoma" w:cs="Tahoma"/>
          <w:bCs w:val="0"/>
          <w:color w:val="000000"/>
          <w:sz w:val="28"/>
          <w:szCs w:val="28"/>
          <w:lang w:val="id-ID"/>
        </w:rPr>
      </w:pPr>
      <w:r>
        <w:rPr>
          <w:rFonts w:ascii="Tahoma" w:hAnsi="Tahoma" w:cs="Tahoma"/>
          <w:bCs w:val="0"/>
          <w:color w:val="000000"/>
          <w:sz w:val="28"/>
          <w:szCs w:val="28"/>
          <w:lang w:val="id-ID"/>
        </w:rPr>
        <w:t>REALISASI ANGGARAN</w:t>
      </w:r>
    </w:p>
    <w:p>
      <w:pPr>
        <w:spacing w:before="240" w:after="80" w:line="360" w:lineRule="auto"/>
        <w:ind w:left="425"/>
        <w:jc w:val="both"/>
        <w:rPr>
          <w:rFonts w:ascii="Tahoma" w:hAnsi="Tahoma" w:cs="Tahoma"/>
          <w:lang w:val="id-ID"/>
        </w:rPr>
      </w:pPr>
      <w:r>
        <w:rPr>
          <w:rFonts w:ascii="Tahoma" w:hAnsi="Tahoma" w:cs="Tahoma"/>
        </w:rPr>
        <w:t xml:space="preserve">Dalam rangka mewujudkan visi dan tujuan yang telah ditetapkan maka </w:t>
      </w:r>
      <w:r>
        <w:rPr>
          <w:rFonts w:ascii="Tahoma" w:hAnsi="Tahoma" w:cs="Tahoma"/>
          <w:lang w:val="id-ID"/>
        </w:rPr>
        <w:t>Badan</w:t>
      </w:r>
      <w:r>
        <w:rPr>
          <w:rFonts w:ascii="Tahoma" w:hAnsi="Tahoma" w:cs="Tahoma"/>
        </w:rPr>
        <w:t xml:space="preserve"> Keuangan Daerah Provinsi Sumatera Barat telah melaksanakan program kerja untuk mencapai sasaran sesuai tupoksi dan dibiayai dengan dana APBD 2020, seperti terurai dalam program berikut:</w:t>
      </w:r>
    </w:p>
    <w:p>
      <w:pPr>
        <w:numPr>
          <w:ilvl w:val="0"/>
          <w:numId w:val="43"/>
        </w:numPr>
        <w:spacing w:after="60" w:line="360" w:lineRule="auto"/>
        <w:ind w:left="1093" w:hanging="433"/>
        <w:jc w:val="both"/>
        <w:rPr>
          <w:rFonts w:ascii="Tahoma" w:hAnsi="Tahoma" w:cs="Tahoma"/>
          <w:lang w:val="id-ID"/>
        </w:rPr>
      </w:pPr>
      <w:r>
        <w:rPr>
          <w:rFonts w:ascii="Tahoma" w:hAnsi="Tahoma" w:cs="Tahoma"/>
          <w:lang w:val="id-ID"/>
        </w:rPr>
        <w:t>Program Pelayanan Administrasi Perkantoran.</w:t>
      </w:r>
    </w:p>
    <w:p>
      <w:pPr>
        <w:numPr>
          <w:ilvl w:val="0"/>
          <w:numId w:val="43"/>
        </w:numPr>
        <w:spacing w:after="60" w:line="360" w:lineRule="auto"/>
        <w:ind w:left="1093" w:hanging="433"/>
        <w:jc w:val="both"/>
        <w:rPr>
          <w:rFonts w:ascii="Tahoma" w:hAnsi="Tahoma" w:cs="Tahoma"/>
          <w:lang w:val="id-ID"/>
        </w:rPr>
      </w:pPr>
      <w:r>
        <w:rPr>
          <w:rFonts w:ascii="Tahoma" w:hAnsi="Tahoma" w:cs="Tahoma"/>
          <w:lang w:val="id-ID"/>
        </w:rPr>
        <w:t>Program Peningkatan Sarana dan Prasarana Aparatur</w:t>
      </w:r>
    </w:p>
    <w:p>
      <w:pPr>
        <w:numPr>
          <w:ilvl w:val="0"/>
          <w:numId w:val="43"/>
        </w:numPr>
        <w:spacing w:after="60" w:line="360" w:lineRule="auto"/>
        <w:ind w:left="1093" w:hanging="433"/>
        <w:jc w:val="both"/>
        <w:rPr>
          <w:rFonts w:ascii="Tahoma" w:hAnsi="Tahoma" w:cs="Tahoma"/>
          <w:lang w:val="id-ID"/>
        </w:rPr>
      </w:pPr>
      <w:r>
        <w:rPr>
          <w:rFonts w:ascii="Tahoma" w:hAnsi="Tahoma" w:cs="Tahoma"/>
          <w:lang w:val="id-ID"/>
        </w:rPr>
        <w:t>Program Peningkatan Disiplin Aparatur.</w:t>
      </w:r>
    </w:p>
    <w:p>
      <w:pPr>
        <w:numPr>
          <w:ilvl w:val="0"/>
          <w:numId w:val="43"/>
        </w:numPr>
        <w:spacing w:after="60" w:line="360" w:lineRule="auto"/>
        <w:ind w:left="1093" w:hanging="433"/>
        <w:jc w:val="both"/>
        <w:rPr>
          <w:rFonts w:ascii="Tahoma" w:hAnsi="Tahoma" w:cs="Tahoma"/>
          <w:lang w:val="id-ID"/>
        </w:rPr>
      </w:pPr>
      <w:r>
        <w:rPr>
          <w:rFonts w:ascii="Tahoma" w:hAnsi="Tahoma" w:cs="Tahoma"/>
          <w:lang w:val="id-ID"/>
        </w:rPr>
        <w:t>Program Peningkatan Kapasitas Sumber Daya Aparatur.</w:t>
      </w:r>
    </w:p>
    <w:p>
      <w:pPr>
        <w:numPr>
          <w:ilvl w:val="0"/>
          <w:numId w:val="43"/>
        </w:numPr>
        <w:spacing w:after="60" w:line="360" w:lineRule="auto"/>
        <w:ind w:left="1093" w:hanging="433"/>
        <w:jc w:val="both"/>
        <w:rPr>
          <w:rFonts w:ascii="Tahoma" w:hAnsi="Tahoma" w:cs="Tahoma"/>
          <w:lang w:val="id-ID"/>
        </w:rPr>
      </w:pPr>
      <w:r>
        <w:rPr>
          <w:rFonts w:ascii="Tahoma" w:hAnsi="Tahoma" w:cs="Tahoma"/>
          <w:lang w:val="id-ID"/>
        </w:rPr>
        <w:t>Program Peningkatan Pengembangan Sistem Pelaporan Capaian Kinerja dan Keuangan.</w:t>
      </w:r>
    </w:p>
    <w:p>
      <w:pPr>
        <w:numPr>
          <w:ilvl w:val="0"/>
          <w:numId w:val="43"/>
        </w:numPr>
        <w:spacing w:after="60" w:line="360" w:lineRule="auto"/>
        <w:ind w:left="1093" w:hanging="433"/>
        <w:jc w:val="both"/>
        <w:rPr>
          <w:rFonts w:ascii="Tahoma" w:hAnsi="Tahoma" w:cs="Tahoma"/>
          <w:lang w:val="id-ID"/>
        </w:rPr>
      </w:pPr>
      <w:r>
        <w:rPr>
          <w:rFonts w:ascii="Tahoma" w:hAnsi="Tahoma" w:cs="Tahoma"/>
          <w:lang w:val="id-ID"/>
        </w:rPr>
        <w:t>Program Peningkatan Kualitas Pengelolaan Keuangan</w:t>
      </w:r>
      <w:r>
        <w:rPr>
          <w:rFonts w:ascii="Tahoma" w:hAnsi="Tahoma" w:cs="Tahoma"/>
        </w:rPr>
        <w:t>.</w:t>
      </w:r>
    </w:p>
    <w:p>
      <w:pPr>
        <w:numPr>
          <w:ilvl w:val="0"/>
          <w:numId w:val="43"/>
        </w:numPr>
        <w:spacing w:after="60" w:line="360" w:lineRule="auto"/>
        <w:ind w:left="1093" w:hanging="433"/>
        <w:jc w:val="both"/>
        <w:rPr>
          <w:rFonts w:ascii="Tahoma" w:hAnsi="Tahoma" w:cs="Tahoma"/>
          <w:lang w:val="id-ID"/>
        </w:rPr>
      </w:pPr>
      <w:r>
        <w:rPr>
          <w:rFonts w:ascii="Tahoma" w:hAnsi="Tahoma" w:cs="Tahoma"/>
          <w:lang w:val="id-ID"/>
        </w:rPr>
        <w:t xml:space="preserve">Program Pembinaan dan </w:t>
      </w:r>
      <w:r>
        <w:rPr>
          <w:rFonts w:ascii="Tahoma" w:hAnsi="Tahoma" w:cs="Tahoma"/>
        </w:rPr>
        <w:t>F</w:t>
      </w:r>
      <w:r>
        <w:rPr>
          <w:rFonts w:ascii="Tahoma" w:hAnsi="Tahoma" w:cs="Tahoma"/>
          <w:lang w:val="id-ID"/>
        </w:rPr>
        <w:t>asilitasi Pengelolaan Keuangan Kabupaten/Kota</w:t>
      </w:r>
      <w:r>
        <w:rPr>
          <w:rFonts w:ascii="Tahoma" w:hAnsi="Tahoma" w:cs="Tahoma"/>
        </w:rPr>
        <w:t>.</w:t>
      </w:r>
    </w:p>
    <w:p>
      <w:pPr>
        <w:numPr>
          <w:ilvl w:val="0"/>
          <w:numId w:val="43"/>
        </w:numPr>
        <w:spacing w:after="60" w:line="360" w:lineRule="auto"/>
        <w:ind w:left="1093" w:hanging="433"/>
        <w:jc w:val="both"/>
        <w:rPr>
          <w:rFonts w:ascii="Tahoma" w:hAnsi="Tahoma" w:cs="Tahoma"/>
          <w:lang w:val="id-ID"/>
        </w:rPr>
      </w:pPr>
      <w:r>
        <w:rPr>
          <w:rFonts w:ascii="Tahoma" w:hAnsi="Tahoma" w:cs="Tahoma"/>
          <w:lang w:val="id-ID"/>
        </w:rPr>
        <w:t>Program Peningkatan Pendapatan Daerah</w:t>
      </w:r>
      <w:r>
        <w:rPr>
          <w:rFonts w:ascii="Tahoma" w:hAnsi="Tahoma" w:cs="Tahoma"/>
        </w:rPr>
        <w:t>.</w:t>
      </w:r>
    </w:p>
    <w:p>
      <w:pPr>
        <w:numPr>
          <w:ilvl w:val="0"/>
          <w:numId w:val="43"/>
        </w:numPr>
        <w:spacing w:after="60" w:line="360" w:lineRule="auto"/>
        <w:ind w:left="1093" w:hanging="433"/>
        <w:jc w:val="both"/>
        <w:rPr>
          <w:rFonts w:ascii="Tahoma" w:hAnsi="Tahoma" w:cs="Tahoma"/>
          <w:lang w:val="id-ID"/>
        </w:rPr>
      </w:pPr>
      <w:r>
        <w:rPr>
          <w:rFonts w:ascii="Tahoma" w:hAnsi="Tahoma" w:cs="Tahoma"/>
          <w:lang w:val="id-ID"/>
        </w:rPr>
        <w:t>Program Penilaian Pelayanan Publik</w:t>
      </w:r>
      <w:r>
        <w:rPr>
          <w:rFonts w:ascii="Tahoma" w:hAnsi="Tahoma" w:cs="Tahoma"/>
        </w:rPr>
        <w:t>.</w:t>
      </w:r>
    </w:p>
    <w:p>
      <w:pPr>
        <w:spacing w:before="120" w:after="120" w:line="360" w:lineRule="auto"/>
        <w:ind w:left="440"/>
        <w:jc w:val="both"/>
        <w:rPr>
          <w:rFonts w:ascii="Tahoma" w:hAnsi="Tahoma" w:cs="Tahoma"/>
          <w:bCs/>
          <w:lang w:val="id-ID"/>
        </w:rPr>
      </w:pPr>
      <w:r>
        <w:rPr>
          <w:rFonts w:ascii="Tahoma" w:hAnsi="Tahoma" w:cs="Tahoma"/>
          <w:bCs/>
        </w:rPr>
        <w:t>Sebagaimana diketahui</w:t>
      </w:r>
      <w:r>
        <w:rPr>
          <w:rFonts w:hint="default" w:ascii="Tahoma" w:hAnsi="Tahoma" w:cs="Tahoma"/>
          <w:bCs/>
          <w:lang w:val="en-US"/>
        </w:rPr>
        <w:t xml:space="preserve"> </w:t>
      </w:r>
      <w:r>
        <w:rPr>
          <w:rFonts w:ascii="Tahoma" w:hAnsi="Tahoma" w:cs="Tahoma"/>
          <w:bCs/>
        </w:rPr>
        <w:t xml:space="preserve">Badan Keuangan Daerah Provinsi Sumatera Barat pada Tahun </w:t>
      </w:r>
      <w:r>
        <w:rPr>
          <w:rFonts w:ascii="Tahoma" w:hAnsi="Tahoma" w:cs="Tahoma"/>
          <w:bCs/>
          <w:color w:val="000000" w:themeColor="text1"/>
          <w14:textFill>
            <w14:solidFill>
              <w14:schemeClr w14:val="tx1"/>
            </w14:solidFill>
          </w14:textFill>
        </w:rPr>
        <w:t>Anggaran 2020 mendapat pagu anggaran APBD sebesar Rp. 81.470.501.464,- dengan realisasi sebesar Rp. 78.458.144.623,- (96,30%).  Berikut</w:t>
      </w:r>
      <w:r>
        <w:rPr>
          <w:rFonts w:ascii="Tahoma" w:hAnsi="Tahoma" w:cs="Tahoma"/>
          <w:bCs/>
        </w:rPr>
        <w:t xml:space="preserve"> terinci pagu dana dan realisasi tahun 2020 dimaksud.</w:t>
      </w:r>
    </w:p>
    <w:p>
      <w:pPr>
        <w:pStyle w:val="10"/>
        <w:ind w:left="990" w:hanging="450"/>
        <w:jc w:val="center"/>
        <w:rPr>
          <w:rFonts w:hint="default" w:ascii="Tahoma" w:hAnsi="Tahoma" w:cs="Tahoma"/>
          <w:b/>
          <w:bCs/>
          <w:color w:val="000000" w:themeColor="text1"/>
          <w:sz w:val="22"/>
          <w:szCs w:val="22"/>
          <w:lang w:val="en-US"/>
          <w14:textFill>
            <w14:solidFill>
              <w14:schemeClr w14:val="tx1"/>
            </w14:solidFill>
          </w14:textFill>
        </w:rPr>
      </w:pPr>
      <w:r>
        <w:rPr>
          <w:rFonts w:ascii="Tahoma" w:hAnsi="Tahoma" w:cs="Tahoma"/>
          <w:b/>
          <w:bCs/>
          <w:color w:val="000000" w:themeColor="text1"/>
          <w:sz w:val="22"/>
          <w:szCs w:val="22"/>
          <w14:textFill>
            <w14:solidFill>
              <w14:schemeClr w14:val="tx1"/>
            </w14:solidFill>
          </w14:textFill>
        </w:rPr>
        <w:t>Tabel 3.</w:t>
      </w:r>
      <w:r>
        <w:rPr>
          <w:rFonts w:hint="default" w:ascii="Tahoma" w:hAnsi="Tahoma" w:cs="Tahoma"/>
          <w:b/>
          <w:bCs/>
          <w:color w:val="000000" w:themeColor="text1"/>
          <w:sz w:val="22"/>
          <w:szCs w:val="22"/>
          <w:lang w:val="en-US"/>
          <w14:textFill>
            <w14:solidFill>
              <w14:schemeClr w14:val="tx1"/>
            </w14:solidFill>
          </w14:textFill>
        </w:rPr>
        <w:t>12</w:t>
      </w:r>
    </w:p>
    <w:p>
      <w:pPr>
        <w:spacing w:after="0" w:line="240" w:lineRule="auto"/>
        <w:ind w:left="562"/>
        <w:jc w:val="center"/>
        <w:rPr>
          <w:rFonts w:ascii="Tahoma" w:hAnsi="Tahoma" w:cs="Tahoma"/>
          <w:b/>
          <w:color w:val="000000" w:themeColor="text1"/>
          <w:lang w:val="id-ID"/>
          <w14:textFill>
            <w14:solidFill>
              <w14:schemeClr w14:val="tx1"/>
            </w14:solidFill>
          </w14:textFill>
        </w:rPr>
      </w:pPr>
      <w:r>
        <w:rPr>
          <w:rFonts w:ascii="Tahoma" w:hAnsi="Tahoma" w:cs="Tahoma"/>
          <w:b/>
          <w:color w:val="000000" w:themeColor="text1"/>
          <w:lang w:val="id-ID"/>
          <w14:textFill>
            <w14:solidFill>
              <w14:schemeClr w14:val="tx1"/>
            </w14:solidFill>
          </w14:textFill>
        </w:rPr>
        <w:t>Realisasi Belanja</w:t>
      </w:r>
    </w:p>
    <w:p>
      <w:pPr>
        <w:spacing w:afterLines="50" w:line="240" w:lineRule="auto"/>
        <w:ind w:left="561"/>
        <w:jc w:val="center"/>
        <w:rPr>
          <w:rFonts w:ascii="Tahoma" w:hAnsi="Tahoma" w:cs="Tahoma"/>
          <w:b/>
        </w:rPr>
      </w:pPr>
      <w:r>
        <w:rPr>
          <w:rFonts w:ascii="Tahoma" w:hAnsi="Tahoma" w:cs="Tahoma"/>
          <w:b/>
          <w:color w:val="000000" w:themeColor="text1"/>
          <w14:textFill>
            <w14:solidFill>
              <w14:schemeClr w14:val="tx1"/>
            </w14:solidFill>
          </w14:textFill>
        </w:rPr>
        <w:t>Badan Keuangan Daerah</w:t>
      </w:r>
      <w:r>
        <w:rPr>
          <w:rFonts w:ascii="Tahoma" w:hAnsi="Tahoma" w:cs="Tahoma"/>
          <w:b/>
          <w:color w:val="000000" w:themeColor="text1"/>
          <w:lang w:val="id-ID"/>
          <w14:textFill>
            <w14:solidFill>
              <w14:schemeClr w14:val="tx1"/>
            </w14:solidFill>
          </w14:textFill>
        </w:rPr>
        <w:t xml:space="preserve"> Provinsi Sumatera</w:t>
      </w:r>
      <w:r>
        <w:rPr>
          <w:rFonts w:ascii="Tahoma" w:hAnsi="Tahoma" w:cs="Tahoma"/>
          <w:b/>
          <w:lang w:val="id-ID"/>
        </w:rPr>
        <w:t xml:space="preserve"> Barat </w:t>
      </w:r>
      <w:r>
        <w:rPr>
          <w:rFonts w:ascii="Tahoma" w:hAnsi="Tahoma" w:cs="Tahoma"/>
          <w:b/>
        </w:rPr>
        <w:t xml:space="preserve">Tahun </w:t>
      </w:r>
      <w:r>
        <w:rPr>
          <w:rFonts w:ascii="Tahoma" w:hAnsi="Tahoma" w:cs="Tahoma"/>
          <w:b/>
          <w:lang w:val="id-ID"/>
        </w:rPr>
        <w:t>20</w:t>
      </w:r>
      <w:r>
        <w:rPr>
          <w:rFonts w:ascii="Tahoma" w:hAnsi="Tahoma" w:cs="Tahoma"/>
          <w:b/>
        </w:rPr>
        <w:t>20</w:t>
      </w:r>
    </w:p>
    <w:tbl>
      <w:tblPr>
        <w:tblStyle w:val="7"/>
        <w:tblW w:w="0" w:type="auto"/>
        <w:tblInd w:w="5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5"/>
        <w:gridCol w:w="1971"/>
        <w:gridCol w:w="2127"/>
        <w:gridCol w:w="1077"/>
        <w:gridCol w:w="2127"/>
        <w:gridCol w:w="8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dxa"/>
            <w:vMerge w:val="restart"/>
            <w:shd w:val="clear" w:color="auto" w:fill="9BBB59"/>
            <w:vAlign w:val="center"/>
          </w:tcPr>
          <w:p>
            <w:pPr>
              <w:spacing w:before="120" w:after="120"/>
              <w:jc w:val="center"/>
              <w:rPr>
                <w:rFonts w:ascii="Tahoma" w:hAnsi="Tahoma" w:cs="Tahoma"/>
                <w:b/>
                <w:color w:val="000000"/>
                <w:lang w:val="id-ID"/>
              </w:rPr>
            </w:pPr>
            <w:r>
              <w:rPr>
                <w:rFonts w:ascii="Tahoma" w:hAnsi="Tahoma" w:cs="Tahoma"/>
                <w:b/>
                <w:color w:val="000000"/>
                <w:lang w:val="id-ID"/>
              </w:rPr>
              <w:t>NO</w:t>
            </w:r>
          </w:p>
        </w:tc>
        <w:tc>
          <w:tcPr>
            <w:tcW w:w="1971" w:type="dxa"/>
            <w:vMerge w:val="restart"/>
            <w:shd w:val="clear" w:color="auto" w:fill="9BBB59"/>
            <w:vAlign w:val="center"/>
          </w:tcPr>
          <w:p>
            <w:pPr>
              <w:spacing w:before="120" w:after="120"/>
              <w:jc w:val="center"/>
              <w:rPr>
                <w:rFonts w:ascii="Tahoma" w:hAnsi="Tahoma" w:cs="Tahoma"/>
                <w:b/>
                <w:color w:val="000000"/>
                <w:lang w:val="id-ID"/>
              </w:rPr>
            </w:pPr>
            <w:r>
              <w:rPr>
                <w:rFonts w:ascii="Tahoma" w:hAnsi="Tahoma" w:cs="Tahoma"/>
                <w:b/>
                <w:color w:val="000000"/>
                <w:lang w:val="id-ID"/>
              </w:rPr>
              <w:t>URAIAN BELANJA</w:t>
            </w:r>
          </w:p>
        </w:tc>
        <w:tc>
          <w:tcPr>
            <w:tcW w:w="2127" w:type="dxa"/>
            <w:vMerge w:val="restart"/>
            <w:shd w:val="clear" w:color="auto" w:fill="9BBB59"/>
            <w:vAlign w:val="center"/>
          </w:tcPr>
          <w:p>
            <w:pPr>
              <w:spacing w:before="120" w:after="0" w:line="240" w:lineRule="auto"/>
              <w:jc w:val="center"/>
              <w:rPr>
                <w:rFonts w:ascii="Tahoma" w:hAnsi="Tahoma" w:cs="Tahoma"/>
                <w:b/>
                <w:color w:val="000000"/>
                <w:lang w:val="id-ID"/>
              </w:rPr>
            </w:pPr>
            <w:r>
              <w:rPr>
                <w:rFonts w:ascii="Tahoma" w:hAnsi="Tahoma" w:cs="Tahoma"/>
                <w:b/>
                <w:color w:val="000000"/>
                <w:lang w:val="id-ID"/>
              </w:rPr>
              <w:t>TARGET</w:t>
            </w:r>
          </w:p>
          <w:p>
            <w:pPr>
              <w:spacing w:after="120"/>
              <w:jc w:val="center"/>
              <w:rPr>
                <w:rFonts w:ascii="Tahoma" w:hAnsi="Tahoma" w:cs="Tahoma"/>
                <w:b/>
                <w:color w:val="000000"/>
                <w:lang w:val="id-ID"/>
              </w:rPr>
            </w:pPr>
            <w:r>
              <w:rPr>
                <w:rFonts w:ascii="Tahoma" w:hAnsi="Tahoma" w:cs="Tahoma"/>
                <w:b/>
                <w:color w:val="000000"/>
                <w:lang w:val="id-ID"/>
              </w:rPr>
              <w:t>(Rp)</w:t>
            </w:r>
          </w:p>
        </w:tc>
        <w:tc>
          <w:tcPr>
            <w:tcW w:w="3204" w:type="dxa"/>
            <w:gridSpan w:val="2"/>
            <w:shd w:val="clear" w:color="auto" w:fill="9BBB59"/>
            <w:vAlign w:val="center"/>
          </w:tcPr>
          <w:p>
            <w:pPr>
              <w:spacing w:after="0" w:line="240" w:lineRule="auto"/>
              <w:jc w:val="center"/>
              <w:rPr>
                <w:rFonts w:ascii="Tahoma" w:hAnsi="Tahoma" w:cs="Tahoma"/>
                <w:b/>
                <w:color w:val="000000"/>
                <w:lang w:val="id-ID"/>
              </w:rPr>
            </w:pPr>
            <w:r>
              <w:rPr>
                <w:rFonts w:ascii="Tahoma" w:hAnsi="Tahoma" w:cs="Tahoma"/>
                <w:b/>
                <w:color w:val="000000"/>
                <w:lang w:val="id-ID"/>
              </w:rPr>
              <w:t>REALISASI</w:t>
            </w:r>
          </w:p>
        </w:tc>
        <w:tc>
          <w:tcPr>
            <w:tcW w:w="864" w:type="dxa"/>
            <w:shd w:val="clear" w:color="auto" w:fill="9BBB59"/>
            <w:vAlign w:val="center"/>
          </w:tcPr>
          <w:p>
            <w:pPr>
              <w:spacing w:before="120" w:after="120" w:line="240" w:lineRule="auto"/>
              <w:jc w:val="center"/>
              <w:rPr>
                <w:rFonts w:ascii="Tahoma" w:hAnsi="Tahoma" w:cs="Tahoma"/>
                <w:b/>
                <w:color w:val="000000"/>
                <w:lang w:val="id-ID"/>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dxa"/>
            <w:vMerge w:val="continue"/>
            <w:shd w:val="clear" w:color="auto" w:fill="9BBB59"/>
            <w:vAlign w:val="center"/>
          </w:tcPr>
          <w:p>
            <w:pPr>
              <w:spacing w:before="120" w:after="120" w:line="240" w:lineRule="auto"/>
              <w:jc w:val="center"/>
              <w:rPr>
                <w:rFonts w:ascii="Tahoma" w:hAnsi="Tahoma" w:cs="Tahoma"/>
                <w:b/>
                <w:color w:val="000000"/>
                <w:lang w:val="id-ID"/>
              </w:rPr>
            </w:pPr>
          </w:p>
        </w:tc>
        <w:tc>
          <w:tcPr>
            <w:tcW w:w="1971" w:type="dxa"/>
            <w:vMerge w:val="continue"/>
            <w:shd w:val="clear" w:color="auto" w:fill="9BBB59"/>
            <w:vAlign w:val="center"/>
          </w:tcPr>
          <w:p>
            <w:pPr>
              <w:spacing w:before="120" w:after="120" w:line="240" w:lineRule="auto"/>
              <w:jc w:val="center"/>
              <w:rPr>
                <w:rFonts w:ascii="Tahoma" w:hAnsi="Tahoma" w:cs="Tahoma"/>
                <w:b/>
                <w:color w:val="000000"/>
                <w:lang w:val="id-ID"/>
              </w:rPr>
            </w:pPr>
          </w:p>
        </w:tc>
        <w:tc>
          <w:tcPr>
            <w:tcW w:w="2127" w:type="dxa"/>
            <w:vMerge w:val="continue"/>
            <w:shd w:val="clear" w:color="auto" w:fill="9BBB59"/>
            <w:vAlign w:val="center"/>
          </w:tcPr>
          <w:p>
            <w:pPr>
              <w:spacing w:after="120" w:line="240" w:lineRule="auto"/>
              <w:jc w:val="center"/>
              <w:rPr>
                <w:rFonts w:ascii="Tahoma" w:hAnsi="Tahoma" w:cs="Tahoma"/>
                <w:b/>
                <w:color w:val="000000"/>
                <w:lang w:val="id-ID"/>
              </w:rPr>
            </w:pPr>
          </w:p>
        </w:tc>
        <w:tc>
          <w:tcPr>
            <w:tcW w:w="1077" w:type="dxa"/>
            <w:shd w:val="clear" w:color="auto" w:fill="9BBB59"/>
            <w:vAlign w:val="center"/>
          </w:tcPr>
          <w:p>
            <w:pPr>
              <w:spacing w:after="0" w:line="240" w:lineRule="auto"/>
              <w:jc w:val="center"/>
              <w:rPr>
                <w:rFonts w:ascii="Tahoma" w:hAnsi="Tahoma" w:cs="Tahoma"/>
                <w:b/>
                <w:color w:val="000000"/>
                <w:lang w:val="id-ID"/>
              </w:rPr>
            </w:pPr>
            <w:r>
              <w:rPr>
                <w:rFonts w:ascii="Tahoma" w:hAnsi="Tahoma" w:cs="Tahoma"/>
                <w:b/>
                <w:color w:val="000000"/>
                <w:lang w:val="id-ID"/>
              </w:rPr>
              <w:t>% FISIK</w:t>
            </w:r>
          </w:p>
        </w:tc>
        <w:tc>
          <w:tcPr>
            <w:tcW w:w="2127" w:type="dxa"/>
            <w:shd w:val="clear" w:color="auto" w:fill="9BBB59"/>
            <w:vAlign w:val="center"/>
          </w:tcPr>
          <w:p>
            <w:pPr>
              <w:spacing w:after="0" w:line="240" w:lineRule="auto"/>
              <w:jc w:val="center"/>
              <w:rPr>
                <w:rFonts w:ascii="Tahoma" w:hAnsi="Tahoma" w:cs="Tahoma"/>
                <w:b/>
                <w:color w:val="000000"/>
                <w:lang w:val="id-ID"/>
              </w:rPr>
            </w:pPr>
            <w:r>
              <w:rPr>
                <w:rFonts w:ascii="Tahoma" w:hAnsi="Tahoma" w:cs="Tahoma"/>
                <w:b/>
                <w:color w:val="000000"/>
                <w:lang w:val="id-ID"/>
              </w:rPr>
              <w:t>KEUANGAN</w:t>
            </w:r>
          </w:p>
          <w:p>
            <w:pPr>
              <w:spacing w:after="0" w:line="240" w:lineRule="auto"/>
              <w:jc w:val="center"/>
              <w:rPr>
                <w:rFonts w:ascii="Tahoma" w:hAnsi="Tahoma" w:cs="Tahoma"/>
                <w:b/>
                <w:color w:val="000000"/>
                <w:lang w:val="id-ID"/>
              </w:rPr>
            </w:pPr>
            <w:r>
              <w:rPr>
                <w:rFonts w:ascii="Tahoma" w:hAnsi="Tahoma" w:cs="Tahoma"/>
                <w:b/>
                <w:color w:val="000000"/>
                <w:lang w:val="id-ID"/>
              </w:rPr>
              <w:t>(Rp)</w:t>
            </w:r>
          </w:p>
        </w:tc>
        <w:tc>
          <w:tcPr>
            <w:tcW w:w="864" w:type="dxa"/>
            <w:shd w:val="clear" w:color="auto" w:fill="9BBB59"/>
            <w:vAlign w:val="center"/>
          </w:tcPr>
          <w:p>
            <w:pPr>
              <w:spacing w:before="120" w:after="120" w:line="240" w:lineRule="auto"/>
              <w:jc w:val="center"/>
              <w:rPr>
                <w:rFonts w:ascii="Tahoma" w:hAnsi="Tahoma" w:cs="Tahoma"/>
                <w:b/>
                <w:color w:val="000000"/>
                <w:lang w:val="id-ID"/>
              </w:rPr>
            </w:pPr>
            <w:r>
              <w:rPr>
                <w:rFonts w:ascii="Tahoma" w:hAnsi="Tahoma" w:cs="Tahoma"/>
                <w:b/>
                <w:color w:val="000000"/>
                <w:lang w:val="id-ID"/>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dxa"/>
          </w:tcPr>
          <w:p>
            <w:pPr>
              <w:spacing w:after="0" w:line="240" w:lineRule="auto"/>
              <w:jc w:val="center"/>
              <w:rPr>
                <w:rFonts w:ascii="Tahoma" w:hAnsi="Tahoma" w:cs="Tahoma"/>
                <w:b/>
                <w:color w:val="000000"/>
                <w:lang w:val="id-ID"/>
              </w:rPr>
            </w:pPr>
            <w:r>
              <w:rPr>
                <w:rFonts w:ascii="Tahoma" w:hAnsi="Tahoma" w:cs="Tahoma"/>
                <w:b/>
                <w:color w:val="000000"/>
                <w:lang w:val="id-ID"/>
              </w:rPr>
              <w:t>1</w:t>
            </w:r>
          </w:p>
        </w:tc>
        <w:tc>
          <w:tcPr>
            <w:tcW w:w="1971" w:type="dxa"/>
          </w:tcPr>
          <w:p>
            <w:pPr>
              <w:spacing w:after="0" w:line="240" w:lineRule="auto"/>
              <w:rPr>
                <w:rFonts w:ascii="Tahoma" w:hAnsi="Tahoma" w:cs="Tahoma"/>
                <w:b/>
                <w:color w:val="000000"/>
                <w:lang w:val="id-ID"/>
              </w:rPr>
            </w:pPr>
            <w:r>
              <w:rPr>
                <w:rFonts w:ascii="Tahoma" w:hAnsi="Tahoma" w:cs="Tahoma"/>
                <w:b/>
                <w:color w:val="000000"/>
                <w:lang w:val="id-ID"/>
              </w:rPr>
              <w:t>BELANJA TIDAK LANGSUNG</w:t>
            </w:r>
          </w:p>
        </w:tc>
        <w:tc>
          <w:tcPr>
            <w:tcW w:w="2127" w:type="dxa"/>
            <w:vAlign w:val="center"/>
          </w:tcPr>
          <w:p>
            <w:pPr>
              <w:spacing w:after="0" w:line="240" w:lineRule="auto"/>
              <w:jc w:val="right"/>
              <w:rPr>
                <w:rFonts w:ascii="Tahoma" w:hAnsi="Tahoma" w:cs="Tahoma"/>
                <w:b/>
                <w:color w:val="000000"/>
                <w:lang w:val="id-ID"/>
              </w:rPr>
            </w:pPr>
            <w:r>
              <w:rPr>
                <w:rFonts w:ascii="Tahoma" w:hAnsi="Tahoma" w:cs="Tahoma"/>
                <w:b/>
              </w:rPr>
              <w:t>50.763.388.129</w:t>
            </w:r>
            <w:r>
              <w:rPr>
                <w:rFonts w:ascii="Tahoma" w:hAnsi="Tahoma" w:cs="Tahoma"/>
                <w:b/>
                <w:lang w:val="id-ID"/>
              </w:rPr>
              <w:t xml:space="preserve">,- </w:t>
            </w:r>
          </w:p>
        </w:tc>
        <w:tc>
          <w:tcPr>
            <w:tcW w:w="1077" w:type="dxa"/>
            <w:vAlign w:val="center"/>
          </w:tcPr>
          <w:p>
            <w:pPr>
              <w:spacing w:after="0" w:line="240" w:lineRule="auto"/>
              <w:jc w:val="right"/>
              <w:rPr>
                <w:rFonts w:ascii="Tahoma" w:hAnsi="Tahoma" w:cs="Tahoma"/>
                <w:b/>
                <w:lang w:val="id-ID"/>
              </w:rPr>
            </w:pPr>
            <w:r>
              <w:rPr>
                <w:rFonts w:ascii="Tahoma" w:hAnsi="Tahoma" w:cs="Tahoma"/>
                <w:b/>
                <w:lang w:val="id-ID"/>
              </w:rPr>
              <w:t>100</w:t>
            </w:r>
            <w:r>
              <w:rPr>
                <w:rFonts w:ascii="Tahoma" w:hAnsi="Tahoma" w:cs="Tahoma"/>
                <w:b/>
              </w:rPr>
              <w:t>,</w:t>
            </w:r>
            <w:r>
              <w:rPr>
                <w:rFonts w:ascii="Tahoma" w:hAnsi="Tahoma" w:cs="Tahoma"/>
                <w:b/>
                <w:lang w:val="id-ID"/>
              </w:rPr>
              <w:t>00</w:t>
            </w:r>
          </w:p>
        </w:tc>
        <w:tc>
          <w:tcPr>
            <w:tcW w:w="2127" w:type="dxa"/>
            <w:vAlign w:val="center"/>
          </w:tcPr>
          <w:p>
            <w:pPr>
              <w:spacing w:after="0" w:line="240" w:lineRule="auto"/>
              <w:jc w:val="right"/>
              <w:rPr>
                <w:rFonts w:ascii="Tahoma" w:hAnsi="Tahoma" w:cs="Tahoma"/>
                <w:b/>
                <w:color w:val="000000" w:themeColor="text1"/>
                <w:lang w:val="id-ID"/>
                <w14:textFill>
                  <w14:solidFill>
                    <w14:schemeClr w14:val="tx1"/>
                  </w14:solidFill>
                </w14:textFill>
              </w:rPr>
            </w:pPr>
            <w:r>
              <w:rPr>
                <w:rFonts w:ascii="Tahoma" w:hAnsi="Tahoma" w:cs="Tahoma"/>
                <w:b/>
                <w:color w:val="000000" w:themeColor="text1"/>
                <w14:textFill>
                  <w14:solidFill>
                    <w14:schemeClr w14:val="tx1"/>
                  </w14:solidFill>
                </w14:textFill>
              </w:rPr>
              <w:t>50.087.111.674</w:t>
            </w:r>
            <w:r>
              <w:rPr>
                <w:rFonts w:ascii="Tahoma" w:hAnsi="Tahoma" w:cs="Tahoma"/>
                <w:b/>
                <w:color w:val="000000" w:themeColor="text1"/>
                <w:lang w:val="id-ID"/>
                <w14:textFill>
                  <w14:solidFill>
                    <w14:schemeClr w14:val="tx1"/>
                  </w14:solidFill>
                </w14:textFill>
              </w:rPr>
              <w:t>,-</w:t>
            </w:r>
          </w:p>
        </w:tc>
        <w:tc>
          <w:tcPr>
            <w:tcW w:w="864" w:type="dxa"/>
            <w:vAlign w:val="center"/>
          </w:tcPr>
          <w:p>
            <w:pPr>
              <w:spacing w:after="0" w:line="240" w:lineRule="auto"/>
              <w:jc w:val="right"/>
              <w:rPr>
                <w:rFonts w:ascii="Tahoma" w:hAnsi="Tahoma" w:cs="Tahoma"/>
                <w:b/>
                <w:color w:val="000000" w:themeColor="text1"/>
                <w14:textFill>
                  <w14:solidFill>
                    <w14:schemeClr w14:val="tx1"/>
                  </w14:solidFill>
                </w14:textFill>
              </w:rPr>
            </w:pPr>
            <w:r>
              <w:rPr>
                <w:rFonts w:ascii="Tahoma" w:hAnsi="Tahoma" w:cs="Tahoma"/>
                <w:b/>
                <w:color w:val="000000" w:themeColor="text1"/>
                <w14:textFill>
                  <w14:solidFill>
                    <w14:schemeClr w14:val="tx1"/>
                  </w14:solidFill>
                </w14:textFill>
              </w:rPr>
              <w:t>98,67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dxa"/>
          </w:tcPr>
          <w:p>
            <w:pPr>
              <w:spacing w:after="0" w:line="240" w:lineRule="auto"/>
              <w:jc w:val="center"/>
              <w:rPr>
                <w:rFonts w:ascii="Tahoma" w:hAnsi="Tahoma" w:cs="Tahoma"/>
                <w:b/>
                <w:color w:val="000000"/>
                <w:lang w:val="id-ID"/>
              </w:rPr>
            </w:pPr>
          </w:p>
        </w:tc>
        <w:tc>
          <w:tcPr>
            <w:tcW w:w="1971" w:type="dxa"/>
          </w:tcPr>
          <w:p>
            <w:pPr>
              <w:numPr>
                <w:ilvl w:val="2"/>
                <w:numId w:val="44"/>
              </w:numPr>
              <w:tabs>
                <w:tab w:val="clear" w:pos="2831"/>
              </w:tabs>
              <w:spacing w:after="0" w:line="240" w:lineRule="auto"/>
              <w:ind w:left="317" w:hanging="284"/>
              <w:rPr>
                <w:rFonts w:ascii="Tahoma" w:hAnsi="Tahoma" w:cs="Tahoma"/>
                <w:bCs/>
                <w:color w:val="000000"/>
                <w:lang w:val="id-ID"/>
              </w:rPr>
            </w:pPr>
            <w:r>
              <w:rPr>
                <w:rFonts w:ascii="Tahoma" w:hAnsi="Tahoma" w:cs="Tahoma"/>
                <w:bCs/>
                <w:color w:val="000000"/>
                <w:lang w:val="id-ID"/>
              </w:rPr>
              <w:t>Gaji dan Tunjangan</w:t>
            </w:r>
          </w:p>
        </w:tc>
        <w:tc>
          <w:tcPr>
            <w:tcW w:w="2127" w:type="dxa"/>
            <w:vAlign w:val="center"/>
          </w:tcPr>
          <w:p>
            <w:pPr>
              <w:spacing w:after="0" w:line="240" w:lineRule="auto"/>
              <w:jc w:val="right"/>
              <w:rPr>
                <w:rFonts w:ascii="Tahoma" w:hAnsi="Tahoma" w:cs="Tahoma"/>
                <w:bCs/>
                <w:color w:val="000000"/>
                <w:lang w:val="id-ID"/>
              </w:rPr>
            </w:pPr>
            <w:r>
              <w:rPr>
                <w:rFonts w:ascii="Tahoma" w:hAnsi="Tahoma" w:cs="Tahoma"/>
                <w:bCs/>
                <w:color w:val="000000"/>
              </w:rPr>
              <w:t>16.919.057.725</w:t>
            </w:r>
            <w:r>
              <w:rPr>
                <w:rFonts w:ascii="Tahoma" w:hAnsi="Tahoma" w:cs="Tahoma"/>
                <w:bCs/>
                <w:color w:val="000000"/>
                <w:lang w:val="id-ID"/>
              </w:rPr>
              <w:t>,-</w:t>
            </w:r>
          </w:p>
        </w:tc>
        <w:tc>
          <w:tcPr>
            <w:tcW w:w="1077" w:type="dxa"/>
            <w:vAlign w:val="center"/>
          </w:tcPr>
          <w:p>
            <w:pPr>
              <w:spacing w:after="0" w:line="240" w:lineRule="auto"/>
              <w:jc w:val="right"/>
              <w:rPr>
                <w:rFonts w:ascii="Tahoma" w:hAnsi="Tahoma" w:cs="Tahoma"/>
                <w:bCs/>
                <w:color w:val="000000" w:themeColor="text1"/>
                <w:lang w:val="id-ID"/>
                <w14:textFill>
                  <w14:solidFill>
                    <w14:schemeClr w14:val="tx1"/>
                  </w14:solidFill>
                </w14:textFill>
              </w:rPr>
            </w:pPr>
            <w:r>
              <w:rPr>
                <w:rFonts w:ascii="Tahoma" w:hAnsi="Tahoma" w:cs="Tahoma"/>
                <w:bCs/>
                <w:color w:val="000000" w:themeColor="text1"/>
                <w:lang w:val="id-ID"/>
                <w14:textFill>
                  <w14:solidFill>
                    <w14:schemeClr w14:val="tx1"/>
                  </w14:solidFill>
                </w14:textFill>
              </w:rPr>
              <w:t>100</w:t>
            </w:r>
            <w:r>
              <w:rPr>
                <w:rFonts w:ascii="Tahoma" w:hAnsi="Tahoma" w:cs="Tahoma"/>
                <w:bCs/>
                <w:color w:val="000000" w:themeColor="text1"/>
                <w14:textFill>
                  <w14:solidFill>
                    <w14:schemeClr w14:val="tx1"/>
                  </w14:solidFill>
                </w14:textFill>
              </w:rPr>
              <w:t>,</w:t>
            </w:r>
            <w:r>
              <w:rPr>
                <w:rFonts w:ascii="Tahoma" w:hAnsi="Tahoma" w:cs="Tahoma"/>
                <w:bCs/>
                <w:color w:val="000000" w:themeColor="text1"/>
                <w:lang w:val="id-ID"/>
                <w14:textFill>
                  <w14:solidFill>
                    <w14:schemeClr w14:val="tx1"/>
                  </w14:solidFill>
                </w14:textFill>
              </w:rPr>
              <w:t>00</w:t>
            </w:r>
          </w:p>
        </w:tc>
        <w:tc>
          <w:tcPr>
            <w:tcW w:w="2127" w:type="dxa"/>
            <w:vAlign w:val="center"/>
          </w:tcPr>
          <w:p>
            <w:pPr>
              <w:spacing w:after="0" w:line="240" w:lineRule="auto"/>
              <w:jc w:val="right"/>
              <w:rPr>
                <w:rFonts w:ascii="Tahoma" w:hAnsi="Tahoma" w:cs="Tahoma"/>
                <w:bCs/>
                <w:color w:val="000000" w:themeColor="text1"/>
                <w:lang w:val="id-ID"/>
                <w14:textFill>
                  <w14:solidFill>
                    <w14:schemeClr w14:val="tx1"/>
                  </w14:solidFill>
                </w14:textFill>
              </w:rPr>
            </w:pPr>
            <w:r>
              <w:rPr>
                <w:rFonts w:ascii="Tahoma" w:hAnsi="Tahoma" w:cs="Tahoma"/>
                <w:bCs/>
                <w:color w:val="000000" w:themeColor="text1"/>
                <w14:textFill>
                  <w14:solidFill>
                    <w14:schemeClr w14:val="tx1"/>
                  </w14:solidFill>
                </w14:textFill>
              </w:rPr>
              <w:t>16.592.581.076</w:t>
            </w:r>
            <w:r>
              <w:rPr>
                <w:rFonts w:ascii="Tahoma" w:hAnsi="Tahoma" w:cs="Tahoma"/>
                <w:bCs/>
                <w:color w:val="000000" w:themeColor="text1"/>
                <w:lang w:val="id-ID"/>
                <w14:textFill>
                  <w14:solidFill>
                    <w14:schemeClr w14:val="tx1"/>
                  </w14:solidFill>
                </w14:textFill>
              </w:rPr>
              <w:t>,-</w:t>
            </w:r>
          </w:p>
        </w:tc>
        <w:tc>
          <w:tcPr>
            <w:tcW w:w="864" w:type="dxa"/>
            <w:vAlign w:val="center"/>
          </w:tcPr>
          <w:p>
            <w:pPr>
              <w:spacing w:after="0" w:line="240" w:lineRule="auto"/>
              <w:jc w:val="right"/>
              <w:rPr>
                <w:rFonts w:ascii="Tahoma" w:hAnsi="Tahoma" w:cs="Tahoma"/>
                <w:bCs/>
                <w:color w:val="000000" w:themeColor="text1"/>
                <w14:textFill>
                  <w14:solidFill>
                    <w14:schemeClr w14:val="tx1"/>
                  </w14:solidFill>
                </w14:textFill>
              </w:rPr>
            </w:pPr>
            <w:r>
              <w:rPr>
                <w:rFonts w:ascii="Tahoma" w:hAnsi="Tahoma" w:cs="Tahoma"/>
                <w:bCs/>
                <w:color w:val="000000" w:themeColor="text1"/>
                <w14:textFill>
                  <w14:solidFill>
                    <w14:schemeClr w14:val="tx1"/>
                  </w14:solidFill>
                </w14:textFill>
              </w:rPr>
              <w:t>98,07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dxa"/>
          </w:tcPr>
          <w:p>
            <w:pPr>
              <w:spacing w:after="0" w:line="240" w:lineRule="auto"/>
              <w:jc w:val="center"/>
              <w:rPr>
                <w:rFonts w:ascii="Tahoma" w:hAnsi="Tahoma" w:cs="Tahoma"/>
                <w:b/>
                <w:color w:val="000000" w:themeColor="text1"/>
                <w:lang w:val="id-ID"/>
                <w14:textFill>
                  <w14:solidFill>
                    <w14:schemeClr w14:val="tx1"/>
                  </w14:solidFill>
                </w14:textFill>
              </w:rPr>
            </w:pPr>
          </w:p>
        </w:tc>
        <w:tc>
          <w:tcPr>
            <w:tcW w:w="1971" w:type="dxa"/>
          </w:tcPr>
          <w:p>
            <w:pPr>
              <w:numPr>
                <w:ilvl w:val="2"/>
                <w:numId w:val="44"/>
              </w:numPr>
              <w:tabs>
                <w:tab w:val="clear" w:pos="2831"/>
              </w:tabs>
              <w:spacing w:after="0" w:line="240" w:lineRule="auto"/>
              <w:ind w:left="317" w:hanging="284"/>
              <w:rPr>
                <w:rFonts w:ascii="Tahoma" w:hAnsi="Tahoma" w:cs="Tahoma"/>
                <w:bCs/>
                <w:color w:val="000000" w:themeColor="text1"/>
                <w:lang w:val="id-ID"/>
                <w14:textFill>
                  <w14:solidFill>
                    <w14:schemeClr w14:val="tx1"/>
                  </w14:solidFill>
                </w14:textFill>
              </w:rPr>
            </w:pPr>
            <w:r>
              <w:rPr>
                <w:rFonts w:ascii="Tahoma" w:hAnsi="Tahoma" w:cs="Tahoma"/>
                <w:bCs/>
                <w:color w:val="000000" w:themeColor="text1"/>
                <w:lang w:val="id-ID"/>
                <w14:textFill>
                  <w14:solidFill>
                    <w14:schemeClr w14:val="tx1"/>
                  </w14:solidFill>
                </w14:textFill>
              </w:rPr>
              <w:t>Tambahan Penghasilan PNS</w:t>
            </w:r>
          </w:p>
        </w:tc>
        <w:tc>
          <w:tcPr>
            <w:tcW w:w="2127" w:type="dxa"/>
            <w:vAlign w:val="center"/>
          </w:tcPr>
          <w:p>
            <w:pPr>
              <w:spacing w:after="0" w:line="240" w:lineRule="auto"/>
              <w:jc w:val="right"/>
              <w:rPr>
                <w:rFonts w:ascii="Tahoma" w:hAnsi="Tahoma" w:cs="Tahoma"/>
                <w:bCs/>
                <w:color w:val="000000" w:themeColor="text1"/>
                <w:lang w:val="id-ID"/>
                <w14:textFill>
                  <w14:solidFill>
                    <w14:schemeClr w14:val="tx1"/>
                  </w14:solidFill>
                </w14:textFill>
              </w:rPr>
            </w:pPr>
            <w:r>
              <w:rPr>
                <w:rFonts w:ascii="Tahoma" w:hAnsi="Tahoma" w:cs="Tahoma"/>
                <w:bCs/>
                <w:color w:val="000000" w:themeColor="text1"/>
                <w14:textFill>
                  <w14:solidFill>
                    <w14:schemeClr w14:val="tx1"/>
                  </w14:solidFill>
                </w14:textFill>
              </w:rPr>
              <w:t>5.756.814.204</w:t>
            </w:r>
            <w:r>
              <w:rPr>
                <w:rFonts w:ascii="Tahoma" w:hAnsi="Tahoma" w:cs="Tahoma"/>
                <w:bCs/>
                <w:color w:val="000000" w:themeColor="text1"/>
                <w:lang w:val="id-ID"/>
                <w14:textFill>
                  <w14:solidFill>
                    <w14:schemeClr w14:val="tx1"/>
                  </w14:solidFill>
                </w14:textFill>
              </w:rPr>
              <w:t>,-</w:t>
            </w:r>
          </w:p>
        </w:tc>
        <w:tc>
          <w:tcPr>
            <w:tcW w:w="1077" w:type="dxa"/>
            <w:vAlign w:val="center"/>
          </w:tcPr>
          <w:p>
            <w:pPr>
              <w:spacing w:after="0" w:line="240" w:lineRule="auto"/>
              <w:jc w:val="right"/>
              <w:rPr>
                <w:rFonts w:ascii="Tahoma" w:hAnsi="Tahoma" w:cs="Tahoma"/>
                <w:bCs/>
                <w:color w:val="000000" w:themeColor="text1"/>
                <w:lang w:val="id-ID"/>
                <w14:textFill>
                  <w14:solidFill>
                    <w14:schemeClr w14:val="tx1"/>
                  </w14:solidFill>
                </w14:textFill>
              </w:rPr>
            </w:pPr>
            <w:r>
              <w:rPr>
                <w:rFonts w:ascii="Tahoma" w:hAnsi="Tahoma" w:cs="Tahoma"/>
                <w:bCs/>
                <w:color w:val="000000" w:themeColor="text1"/>
                <w:lang w:val="id-ID"/>
                <w14:textFill>
                  <w14:solidFill>
                    <w14:schemeClr w14:val="tx1"/>
                  </w14:solidFill>
                </w14:textFill>
              </w:rPr>
              <w:t>100</w:t>
            </w:r>
            <w:r>
              <w:rPr>
                <w:rFonts w:ascii="Tahoma" w:hAnsi="Tahoma" w:cs="Tahoma"/>
                <w:bCs/>
                <w:color w:val="000000" w:themeColor="text1"/>
                <w14:textFill>
                  <w14:solidFill>
                    <w14:schemeClr w14:val="tx1"/>
                  </w14:solidFill>
                </w14:textFill>
              </w:rPr>
              <w:t>,</w:t>
            </w:r>
            <w:r>
              <w:rPr>
                <w:rFonts w:ascii="Tahoma" w:hAnsi="Tahoma" w:cs="Tahoma"/>
                <w:bCs/>
                <w:color w:val="000000" w:themeColor="text1"/>
                <w:lang w:val="id-ID"/>
                <w14:textFill>
                  <w14:solidFill>
                    <w14:schemeClr w14:val="tx1"/>
                  </w14:solidFill>
                </w14:textFill>
              </w:rPr>
              <w:t>00</w:t>
            </w:r>
          </w:p>
        </w:tc>
        <w:tc>
          <w:tcPr>
            <w:tcW w:w="2127" w:type="dxa"/>
            <w:vAlign w:val="center"/>
          </w:tcPr>
          <w:p>
            <w:pPr>
              <w:spacing w:after="0" w:line="240" w:lineRule="auto"/>
              <w:jc w:val="right"/>
              <w:rPr>
                <w:rFonts w:ascii="Tahoma" w:hAnsi="Tahoma" w:cs="Tahoma"/>
                <w:bCs/>
                <w:color w:val="000000" w:themeColor="text1"/>
                <w:lang w:val="id-ID"/>
                <w14:textFill>
                  <w14:solidFill>
                    <w14:schemeClr w14:val="tx1"/>
                  </w14:solidFill>
                </w14:textFill>
              </w:rPr>
            </w:pPr>
            <w:r>
              <w:rPr>
                <w:rFonts w:ascii="Tahoma" w:hAnsi="Tahoma" w:cs="Tahoma"/>
                <w:bCs/>
                <w:color w:val="000000" w:themeColor="text1"/>
                <w14:textFill>
                  <w14:solidFill>
                    <w14:schemeClr w14:val="tx1"/>
                  </w14:solidFill>
                </w14:textFill>
              </w:rPr>
              <w:t>5.615.753.396</w:t>
            </w:r>
            <w:r>
              <w:rPr>
                <w:rFonts w:ascii="Tahoma" w:hAnsi="Tahoma" w:cs="Tahoma"/>
                <w:bCs/>
                <w:color w:val="000000" w:themeColor="text1"/>
                <w:lang w:val="id-ID"/>
                <w14:textFill>
                  <w14:solidFill>
                    <w14:schemeClr w14:val="tx1"/>
                  </w14:solidFill>
                </w14:textFill>
              </w:rPr>
              <w:t>,-</w:t>
            </w:r>
          </w:p>
        </w:tc>
        <w:tc>
          <w:tcPr>
            <w:tcW w:w="864" w:type="dxa"/>
            <w:vAlign w:val="center"/>
          </w:tcPr>
          <w:p>
            <w:pPr>
              <w:spacing w:after="0" w:line="240" w:lineRule="auto"/>
              <w:jc w:val="right"/>
              <w:rPr>
                <w:rFonts w:ascii="Tahoma" w:hAnsi="Tahoma" w:cs="Tahoma"/>
                <w:bCs/>
                <w:color w:val="000000" w:themeColor="text1"/>
                <w14:textFill>
                  <w14:solidFill>
                    <w14:schemeClr w14:val="tx1"/>
                  </w14:solidFill>
                </w14:textFill>
              </w:rPr>
            </w:pPr>
            <w:r>
              <w:rPr>
                <w:rFonts w:ascii="Tahoma" w:hAnsi="Tahoma" w:cs="Tahoma"/>
                <w:bCs/>
                <w:color w:val="000000" w:themeColor="text1"/>
                <w14:textFill>
                  <w14:solidFill>
                    <w14:schemeClr w14:val="tx1"/>
                  </w14:solidFill>
                </w14:textFill>
              </w:rPr>
              <w:t>97,55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dxa"/>
          </w:tcPr>
          <w:p>
            <w:pPr>
              <w:spacing w:after="0" w:line="240" w:lineRule="auto"/>
              <w:jc w:val="center"/>
              <w:rPr>
                <w:rFonts w:ascii="Tahoma" w:hAnsi="Tahoma" w:cs="Tahoma"/>
                <w:b/>
                <w:color w:val="000000" w:themeColor="text1"/>
                <w:lang w:val="id-ID"/>
                <w14:textFill>
                  <w14:solidFill>
                    <w14:schemeClr w14:val="tx1"/>
                  </w14:solidFill>
                </w14:textFill>
              </w:rPr>
            </w:pPr>
          </w:p>
        </w:tc>
        <w:tc>
          <w:tcPr>
            <w:tcW w:w="1971" w:type="dxa"/>
          </w:tcPr>
          <w:p>
            <w:pPr>
              <w:numPr>
                <w:ilvl w:val="2"/>
                <w:numId w:val="44"/>
              </w:numPr>
              <w:tabs>
                <w:tab w:val="clear" w:pos="2831"/>
              </w:tabs>
              <w:spacing w:after="0" w:line="240" w:lineRule="auto"/>
              <w:ind w:left="317" w:hanging="284"/>
              <w:rPr>
                <w:rFonts w:ascii="Tahoma" w:hAnsi="Tahoma" w:cs="Tahoma"/>
                <w:bCs/>
                <w:color w:val="000000" w:themeColor="text1"/>
                <w:lang w:val="id-ID"/>
                <w14:textFill>
                  <w14:solidFill>
                    <w14:schemeClr w14:val="tx1"/>
                  </w14:solidFill>
                </w14:textFill>
              </w:rPr>
            </w:pPr>
            <w:r>
              <w:rPr>
                <w:rFonts w:ascii="Tahoma" w:hAnsi="Tahoma" w:cs="Tahoma"/>
                <w:bCs/>
                <w:color w:val="000000" w:themeColor="text1"/>
                <w:lang w:val="id-ID"/>
                <w14:textFill>
                  <w14:solidFill>
                    <w14:schemeClr w14:val="tx1"/>
                  </w14:solidFill>
                </w14:textFill>
              </w:rPr>
              <w:t>Insentif Pemungutan Pajak Daerah</w:t>
            </w:r>
          </w:p>
        </w:tc>
        <w:tc>
          <w:tcPr>
            <w:tcW w:w="2127" w:type="dxa"/>
            <w:vAlign w:val="center"/>
          </w:tcPr>
          <w:p>
            <w:pPr>
              <w:spacing w:after="0" w:line="240" w:lineRule="auto"/>
              <w:jc w:val="right"/>
              <w:rPr>
                <w:rFonts w:ascii="Tahoma" w:hAnsi="Tahoma" w:cs="Tahoma"/>
                <w:bCs/>
                <w:color w:val="000000" w:themeColor="text1"/>
                <w:lang w:val="id-ID"/>
                <w14:textFill>
                  <w14:solidFill>
                    <w14:schemeClr w14:val="tx1"/>
                  </w14:solidFill>
                </w14:textFill>
              </w:rPr>
            </w:pPr>
            <w:r>
              <w:rPr>
                <w:rFonts w:ascii="Tahoma" w:hAnsi="Tahoma" w:cs="Tahoma"/>
                <w:bCs/>
                <w:color w:val="000000" w:themeColor="text1"/>
                <w14:textFill>
                  <w14:solidFill>
                    <w14:schemeClr w14:val="tx1"/>
                  </w14:solidFill>
                </w14:textFill>
              </w:rPr>
              <w:t>28.087.516.200</w:t>
            </w:r>
            <w:r>
              <w:rPr>
                <w:rFonts w:ascii="Tahoma" w:hAnsi="Tahoma" w:cs="Tahoma"/>
                <w:bCs/>
                <w:color w:val="000000" w:themeColor="text1"/>
                <w:lang w:val="id-ID"/>
                <w14:textFill>
                  <w14:solidFill>
                    <w14:schemeClr w14:val="tx1"/>
                  </w14:solidFill>
                </w14:textFill>
              </w:rPr>
              <w:t>,-</w:t>
            </w:r>
          </w:p>
        </w:tc>
        <w:tc>
          <w:tcPr>
            <w:tcW w:w="1077" w:type="dxa"/>
            <w:vAlign w:val="center"/>
          </w:tcPr>
          <w:p>
            <w:pPr>
              <w:spacing w:after="0" w:line="240" w:lineRule="auto"/>
              <w:jc w:val="right"/>
              <w:rPr>
                <w:rFonts w:ascii="Tahoma" w:hAnsi="Tahoma" w:cs="Tahoma"/>
                <w:bCs/>
                <w:color w:val="000000" w:themeColor="text1"/>
                <w:lang w:val="id-ID"/>
                <w14:textFill>
                  <w14:solidFill>
                    <w14:schemeClr w14:val="tx1"/>
                  </w14:solidFill>
                </w14:textFill>
              </w:rPr>
            </w:pPr>
            <w:r>
              <w:rPr>
                <w:rFonts w:ascii="Tahoma" w:hAnsi="Tahoma" w:cs="Tahoma"/>
                <w:bCs/>
                <w:color w:val="000000" w:themeColor="text1"/>
                <w:lang w:val="id-ID"/>
                <w14:textFill>
                  <w14:solidFill>
                    <w14:schemeClr w14:val="tx1"/>
                  </w14:solidFill>
                </w14:textFill>
              </w:rPr>
              <w:t>100</w:t>
            </w:r>
            <w:r>
              <w:rPr>
                <w:rFonts w:ascii="Tahoma" w:hAnsi="Tahoma" w:cs="Tahoma"/>
                <w:bCs/>
                <w:color w:val="000000" w:themeColor="text1"/>
                <w14:textFill>
                  <w14:solidFill>
                    <w14:schemeClr w14:val="tx1"/>
                  </w14:solidFill>
                </w14:textFill>
              </w:rPr>
              <w:t>,</w:t>
            </w:r>
            <w:r>
              <w:rPr>
                <w:rFonts w:ascii="Tahoma" w:hAnsi="Tahoma" w:cs="Tahoma"/>
                <w:bCs/>
                <w:color w:val="000000" w:themeColor="text1"/>
                <w:lang w:val="id-ID"/>
                <w14:textFill>
                  <w14:solidFill>
                    <w14:schemeClr w14:val="tx1"/>
                  </w14:solidFill>
                </w14:textFill>
              </w:rPr>
              <w:t>00</w:t>
            </w:r>
          </w:p>
        </w:tc>
        <w:tc>
          <w:tcPr>
            <w:tcW w:w="2127" w:type="dxa"/>
            <w:vAlign w:val="center"/>
          </w:tcPr>
          <w:p>
            <w:pPr>
              <w:spacing w:after="0" w:line="240" w:lineRule="auto"/>
              <w:jc w:val="right"/>
              <w:rPr>
                <w:rFonts w:ascii="Tahoma" w:hAnsi="Tahoma" w:cs="Tahoma"/>
                <w:bCs/>
                <w:color w:val="000000" w:themeColor="text1"/>
                <w:lang w:val="id-ID"/>
                <w14:textFill>
                  <w14:solidFill>
                    <w14:schemeClr w14:val="tx1"/>
                  </w14:solidFill>
                </w14:textFill>
              </w:rPr>
            </w:pPr>
            <w:r>
              <w:rPr>
                <w:rFonts w:ascii="Tahoma" w:hAnsi="Tahoma" w:cs="Tahoma"/>
                <w:bCs/>
                <w:color w:val="000000" w:themeColor="text1"/>
                <w14:textFill>
                  <w14:solidFill>
                    <w14:schemeClr w14:val="tx1"/>
                  </w14:solidFill>
                </w14:textFill>
              </w:rPr>
              <w:t>27.878.777.202,</w:t>
            </w:r>
            <w:r>
              <w:rPr>
                <w:rFonts w:ascii="Tahoma" w:hAnsi="Tahoma" w:cs="Tahoma"/>
                <w:bCs/>
                <w:color w:val="000000" w:themeColor="text1"/>
                <w:lang w:val="id-ID"/>
                <w14:textFill>
                  <w14:solidFill>
                    <w14:schemeClr w14:val="tx1"/>
                  </w14:solidFill>
                </w14:textFill>
              </w:rPr>
              <w:t>-</w:t>
            </w:r>
          </w:p>
        </w:tc>
        <w:tc>
          <w:tcPr>
            <w:tcW w:w="864" w:type="dxa"/>
            <w:vAlign w:val="center"/>
          </w:tcPr>
          <w:p>
            <w:pPr>
              <w:spacing w:after="0" w:line="240" w:lineRule="auto"/>
              <w:jc w:val="right"/>
              <w:rPr>
                <w:rFonts w:ascii="Tahoma" w:hAnsi="Tahoma" w:cs="Tahoma"/>
                <w:bCs/>
                <w:color w:val="000000" w:themeColor="text1"/>
                <w14:textFill>
                  <w14:solidFill>
                    <w14:schemeClr w14:val="tx1"/>
                  </w14:solidFill>
                </w14:textFill>
              </w:rPr>
            </w:pPr>
            <w:r>
              <w:rPr>
                <w:rFonts w:ascii="Tahoma" w:hAnsi="Tahoma" w:cs="Tahoma"/>
                <w:bCs/>
                <w:color w:val="000000" w:themeColor="text1"/>
                <w14:textFill>
                  <w14:solidFill>
                    <w14:schemeClr w14:val="tx1"/>
                  </w14:solidFill>
                </w14:textFill>
              </w:rPr>
              <w:t>99,26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21" w:type="dxa"/>
            <w:gridSpan w:val="6"/>
          </w:tcPr>
          <w:p>
            <w:pPr>
              <w:spacing w:after="0" w:line="240" w:lineRule="auto"/>
              <w:jc w:val="right"/>
              <w:rPr>
                <w:rFonts w:ascii="Tahoma" w:hAnsi="Tahoma" w:cs="Tahoma"/>
                <w:b/>
                <w:color w:val="000000" w:themeColor="text1"/>
                <w:lang w:val="id-ID"/>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55" w:type="dxa"/>
          </w:tcPr>
          <w:p>
            <w:pPr>
              <w:spacing w:before="120" w:after="120" w:line="240" w:lineRule="auto"/>
              <w:jc w:val="center"/>
              <w:rPr>
                <w:rFonts w:ascii="Tahoma" w:hAnsi="Tahoma" w:cs="Tahoma"/>
                <w:b/>
                <w:color w:val="000000"/>
                <w:lang w:val="id-ID"/>
              </w:rPr>
            </w:pPr>
            <w:r>
              <w:rPr>
                <w:rFonts w:ascii="Tahoma" w:hAnsi="Tahoma" w:cs="Tahoma"/>
                <w:b/>
                <w:color w:val="000000"/>
                <w:lang w:val="id-ID"/>
              </w:rPr>
              <w:t>2.</w:t>
            </w:r>
          </w:p>
        </w:tc>
        <w:tc>
          <w:tcPr>
            <w:tcW w:w="1971" w:type="dxa"/>
          </w:tcPr>
          <w:p>
            <w:pPr>
              <w:spacing w:before="120" w:after="120" w:line="240" w:lineRule="auto"/>
              <w:rPr>
                <w:rFonts w:ascii="Tahoma" w:hAnsi="Tahoma" w:cs="Tahoma"/>
                <w:b/>
                <w:color w:val="000000"/>
                <w:lang w:val="id-ID"/>
              </w:rPr>
            </w:pPr>
            <w:r>
              <w:rPr>
                <w:rFonts w:ascii="Tahoma" w:hAnsi="Tahoma" w:cs="Tahoma"/>
                <w:b/>
                <w:color w:val="000000"/>
                <w:lang w:val="id-ID"/>
              </w:rPr>
              <w:t>BELANJA LANGSUNG</w:t>
            </w:r>
          </w:p>
        </w:tc>
        <w:tc>
          <w:tcPr>
            <w:tcW w:w="2127" w:type="dxa"/>
            <w:vAlign w:val="center"/>
          </w:tcPr>
          <w:p>
            <w:pPr>
              <w:spacing w:before="120" w:after="120" w:line="240" w:lineRule="auto"/>
              <w:jc w:val="right"/>
              <w:rPr>
                <w:rFonts w:ascii="Tahoma" w:hAnsi="Tahoma" w:cs="Tahoma"/>
                <w:b/>
                <w:color w:val="000000"/>
                <w:lang w:val="id-ID"/>
              </w:rPr>
            </w:pPr>
            <w:r>
              <w:rPr>
                <w:rFonts w:ascii="Tahoma" w:hAnsi="Tahoma" w:cs="Tahoma"/>
                <w:b/>
                <w:color w:val="000000"/>
              </w:rPr>
              <w:t>30.707.113.335</w:t>
            </w:r>
            <w:r>
              <w:rPr>
                <w:rFonts w:ascii="Tahoma" w:hAnsi="Tahoma" w:cs="Tahoma"/>
                <w:b/>
                <w:color w:val="000000"/>
                <w:lang w:val="id-ID"/>
              </w:rPr>
              <w:t>,-</w:t>
            </w:r>
          </w:p>
        </w:tc>
        <w:tc>
          <w:tcPr>
            <w:tcW w:w="1077" w:type="dxa"/>
            <w:vAlign w:val="center"/>
          </w:tcPr>
          <w:p>
            <w:pPr>
              <w:spacing w:before="120" w:after="120" w:line="240" w:lineRule="auto"/>
              <w:jc w:val="right"/>
              <w:rPr>
                <w:rFonts w:ascii="Tahoma" w:hAnsi="Tahoma" w:cs="Tahoma"/>
                <w:b/>
                <w:color w:val="000000" w:themeColor="text1"/>
                <w:lang w:val="id-ID"/>
                <w14:textFill>
                  <w14:solidFill>
                    <w14:schemeClr w14:val="tx1"/>
                  </w14:solidFill>
                </w14:textFill>
              </w:rPr>
            </w:pPr>
            <w:r>
              <w:rPr>
                <w:rFonts w:ascii="Tahoma" w:hAnsi="Tahoma" w:cs="Tahoma"/>
                <w:b/>
                <w:color w:val="000000" w:themeColor="text1"/>
                <w:lang w:val="id-ID"/>
                <w14:textFill>
                  <w14:solidFill>
                    <w14:schemeClr w14:val="tx1"/>
                  </w14:solidFill>
                </w14:textFill>
              </w:rPr>
              <w:t>100,00</w:t>
            </w:r>
          </w:p>
        </w:tc>
        <w:tc>
          <w:tcPr>
            <w:tcW w:w="2127" w:type="dxa"/>
            <w:vAlign w:val="center"/>
          </w:tcPr>
          <w:p>
            <w:pPr>
              <w:spacing w:before="120" w:after="120" w:line="240" w:lineRule="auto"/>
              <w:jc w:val="right"/>
              <w:rPr>
                <w:rFonts w:ascii="Tahoma" w:hAnsi="Tahoma" w:cs="Tahoma"/>
                <w:b/>
                <w:color w:val="000000" w:themeColor="text1"/>
                <w:lang w:val="id-ID"/>
                <w14:textFill>
                  <w14:solidFill>
                    <w14:schemeClr w14:val="tx1"/>
                  </w14:solidFill>
                </w14:textFill>
              </w:rPr>
            </w:pPr>
            <w:r>
              <w:rPr>
                <w:rFonts w:ascii="Tahoma" w:hAnsi="Tahoma" w:cs="Tahoma"/>
                <w:b/>
                <w:color w:val="000000" w:themeColor="text1"/>
                <w14:textFill>
                  <w14:solidFill>
                    <w14:schemeClr w14:val="tx1"/>
                  </w14:solidFill>
                </w14:textFill>
              </w:rPr>
              <w:t>28.371.032.949</w:t>
            </w:r>
            <w:r>
              <w:rPr>
                <w:rFonts w:ascii="Tahoma" w:hAnsi="Tahoma" w:cs="Tahoma"/>
                <w:b/>
                <w:color w:val="000000" w:themeColor="text1"/>
                <w:lang w:val="id-ID"/>
                <w14:textFill>
                  <w14:solidFill>
                    <w14:schemeClr w14:val="tx1"/>
                  </w14:solidFill>
                </w14:textFill>
              </w:rPr>
              <w:t>,-</w:t>
            </w:r>
          </w:p>
        </w:tc>
        <w:tc>
          <w:tcPr>
            <w:tcW w:w="864" w:type="dxa"/>
            <w:vAlign w:val="center"/>
          </w:tcPr>
          <w:p>
            <w:pPr>
              <w:spacing w:before="120" w:after="120" w:line="240" w:lineRule="auto"/>
              <w:jc w:val="right"/>
              <w:rPr>
                <w:rFonts w:ascii="Tahoma" w:hAnsi="Tahoma" w:cs="Tahoma"/>
                <w:b/>
                <w:color w:val="000000" w:themeColor="text1"/>
                <w14:textFill>
                  <w14:solidFill>
                    <w14:schemeClr w14:val="tx1"/>
                  </w14:solidFill>
                </w14:textFill>
              </w:rPr>
            </w:pPr>
            <w:r>
              <w:rPr>
                <w:rFonts w:ascii="Tahoma" w:hAnsi="Tahoma" w:cs="Tahoma"/>
                <w:b/>
                <w:color w:val="000000" w:themeColor="text1"/>
                <w14:textFill>
                  <w14:solidFill>
                    <w14:schemeClr w14:val="tx1"/>
                  </w14:solidFill>
                </w14:textFill>
              </w:rPr>
              <w:t>92,39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721" w:type="dxa"/>
            <w:gridSpan w:val="6"/>
            <w:vAlign w:val="center"/>
          </w:tcPr>
          <w:p>
            <w:pPr>
              <w:spacing w:after="0" w:line="240" w:lineRule="auto"/>
              <w:jc w:val="right"/>
              <w:rPr>
                <w:rFonts w:ascii="Tahoma" w:hAnsi="Tahoma" w:cs="Tahoma"/>
                <w:b/>
                <w:color w:val="000000" w:themeColor="text1"/>
                <w:lang w:val="id-ID"/>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trPr>
        <w:tc>
          <w:tcPr>
            <w:tcW w:w="555" w:type="dxa"/>
            <w:vAlign w:val="center"/>
          </w:tcPr>
          <w:p>
            <w:pPr>
              <w:spacing w:after="0" w:line="240" w:lineRule="auto"/>
              <w:jc w:val="center"/>
              <w:rPr>
                <w:rFonts w:ascii="Tahoma" w:hAnsi="Tahoma" w:cs="Tahoma"/>
                <w:b/>
                <w:color w:val="000000"/>
                <w:lang w:val="id-ID"/>
              </w:rPr>
            </w:pPr>
          </w:p>
        </w:tc>
        <w:tc>
          <w:tcPr>
            <w:tcW w:w="1971" w:type="dxa"/>
            <w:vAlign w:val="center"/>
          </w:tcPr>
          <w:p>
            <w:pPr>
              <w:spacing w:after="0" w:line="240" w:lineRule="auto"/>
              <w:rPr>
                <w:rFonts w:ascii="Tahoma" w:hAnsi="Tahoma" w:cs="Tahoma"/>
                <w:b/>
                <w:color w:val="000000"/>
                <w:lang w:val="id-ID"/>
              </w:rPr>
            </w:pPr>
            <w:r>
              <w:rPr>
                <w:rFonts w:ascii="Tahoma" w:hAnsi="Tahoma" w:cs="Tahoma"/>
                <w:b/>
                <w:color w:val="000000"/>
                <w:lang w:val="id-ID"/>
              </w:rPr>
              <w:t>JUMLAH BELANJA</w:t>
            </w:r>
          </w:p>
        </w:tc>
        <w:tc>
          <w:tcPr>
            <w:tcW w:w="2127" w:type="dxa"/>
            <w:vAlign w:val="center"/>
          </w:tcPr>
          <w:p>
            <w:pPr>
              <w:spacing w:before="120" w:after="120" w:line="240" w:lineRule="auto"/>
              <w:jc w:val="right"/>
              <w:rPr>
                <w:rFonts w:ascii="Tahoma" w:hAnsi="Tahoma" w:cs="Tahoma"/>
                <w:b/>
                <w:bCs/>
                <w:color w:val="000000"/>
              </w:rPr>
            </w:pPr>
            <w:r>
              <w:rPr>
                <w:rFonts w:ascii="Tahoma" w:hAnsi="Tahoma" w:cs="Tahoma"/>
                <w:b/>
                <w:bCs/>
                <w:color w:val="000000"/>
              </w:rPr>
              <w:t>81.470.501.464,-</w:t>
            </w:r>
          </w:p>
        </w:tc>
        <w:tc>
          <w:tcPr>
            <w:tcW w:w="1077" w:type="dxa"/>
            <w:vAlign w:val="center"/>
          </w:tcPr>
          <w:p>
            <w:pPr>
              <w:spacing w:before="120" w:after="120" w:line="240" w:lineRule="auto"/>
              <w:jc w:val="center"/>
              <w:rPr>
                <w:rFonts w:ascii="Tahoma" w:hAnsi="Tahoma" w:cs="Tahoma"/>
                <w:b/>
                <w:bCs/>
                <w:color w:val="000000" w:themeColor="text1"/>
                <w:lang w:val="id-ID"/>
                <w14:textFill>
                  <w14:solidFill>
                    <w14:schemeClr w14:val="tx1"/>
                  </w14:solidFill>
                </w14:textFill>
              </w:rPr>
            </w:pPr>
            <w:r>
              <w:rPr>
                <w:rFonts w:ascii="Tahoma" w:hAnsi="Tahoma" w:cs="Tahoma"/>
                <w:b/>
                <w:bCs/>
                <w:color w:val="000000" w:themeColor="text1"/>
                <w:lang w:val="id-ID"/>
                <w14:textFill>
                  <w14:solidFill>
                    <w14:schemeClr w14:val="tx1"/>
                  </w14:solidFill>
                </w14:textFill>
              </w:rPr>
              <w:t>100,00</w:t>
            </w:r>
          </w:p>
        </w:tc>
        <w:tc>
          <w:tcPr>
            <w:tcW w:w="2127" w:type="dxa"/>
            <w:vAlign w:val="center"/>
          </w:tcPr>
          <w:p>
            <w:pPr>
              <w:spacing w:before="120" w:after="120" w:line="240" w:lineRule="auto"/>
              <w:jc w:val="right"/>
              <w:rPr>
                <w:rFonts w:ascii="Tahoma" w:hAnsi="Tahoma" w:cs="Tahoma"/>
                <w:b/>
                <w:bCs/>
                <w:color w:val="000000" w:themeColor="text1"/>
                <w14:textFill>
                  <w14:solidFill>
                    <w14:schemeClr w14:val="tx1"/>
                  </w14:solidFill>
                </w14:textFill>
              </w:rPr>
            </w:pPr>
            <w:r>
              <w:rPr>
                <w:rFonts w:ascii="Tahoma" w:hAnsi="Tahoma" w:cs="Tahoma"/>
                <w:b/>
                <w:bCs/>
                <w:color w:val="000000" w:themeColor="text1"/>
                <w14:textFill>
                  <w14:solidFill>
                    <w14:schemeClr w14:val="tx1"/>
                  </w14:solidFill>
                </w14:textFill>
              </w:rPr>
              <w:t>78.458.144.623,-</w:t>
            </w:r>
          </w:p>
        </w:tc>
        <w:tc>
          <w:tcPr>
            <w:tcW w:w="864" w:type="dxa"/>
            <w:vAlign w:val="center"/>
          </w:tcPr>
          <w:p>
            <w:pPr>
              <w:spacing w:before="120" w:after="120" w:line="240" w:lineRule="auto"/>
              <w:jc w:val="right"/>
              <w:rPr>
                <w:rFonts w:ascii="Tahoma" w:hAnsi="Tahoma" w:cs="Tahoma"/>
                <w:b/>
                <w:bCs/>
                <w:color w:val="000000" w:themeColor="text1"/>
                <w14:textFill>
                  <w14:solidFill>
                    <w14:schemeClr w14:val="tx1"/>
                  </w14:solidFill>
                </w14:textFill>
              </w:rPr>
            </w:pPr>
            <w:r>
              <w:rPr>
                <w:rFonts w:ascii="Tahoma" w:hAnsi="Tahoma" w:cs="Tahoma"/>
                <w:b/>
                <w:bCs/>
                <w:color w:val="000000" w:themeColor="text1"/>
                <w14:textFill>
                  <w14:solidFill>
                    <w14:schemeClr w14:val="tx1"/>
                  </w14:solidFill>
                </w14:textFill>
              </w:rPr>
              <w:t>96,30</w:t>
            </w:r>
          </w:p>
        </w:tc>
      </w:tr>
    </w:tbl>
    <w:p>
      <w:pPr>
        <w:tabs>
          <w:tab w:val="left" w:pos="540"/>
        </w:tabs>
        <w:spacing w:before="120" w:after="120" w:line="360" w:lineRule="auto"/>
        <w:jc w:val="both"/>
        <w:rPr>
          <w:rFonts w:ascii="Tahoma" w:hAnsi="Tahoma" w:cs="Tahoma"/>
          <w:bCs/>
          <w:lang w:val="id-ID"/>
        </w:rPr>
      </w:pPr>
    </w:p>
    <w:p>
      <w:pPr>
        <w:spacing w:before="120" w:after="120" w:line="360" w:lineRule="auto"/>
        <w:ind w:left="440"/>
        <w:jc w:val="both"/>
        <w:rPr>
          <w:rFonts w:ascii="Tahoma" w:hAnsi="Tahoma" w:cs="Tahoma"/>
          <w:bCs/>
        </w:rPr>
      </w:pPr>
      <w:r>
        <w:rPr>
          <w:rFonts w:ascii="Tahoma" w:hAnsi="Tahoma" w:cs="Tahoma"/>
          <w:bCs/>
        </w:rPr>
        <w:t xml:space="preserve">Alokasi anggaran program dan kegiatan pada Badan Keuangan Daerah Provinsi Sumatera Barat Tahun Anggaran 2020 adalah Program dan Kegiatan Pokok yang mempunyai 5 program dan </w:t>
      </w:r>
      <w:r>
        <w:rPr>
          <w:rFonts w:ascii="Tahoma" w:hAnsi="Tahoma" w:cs="Tahoma"/>
          <w:bCs/>
          <w:lang w:val="id-ID"/>
        </w:rPr>
        <w:t>2</w:t>
      </w:r>
      <w:r>
        <w:rPr>
          <w:rFonts w:ascii="Tahoma" w:hAnsi="Tahoma" w:cs="Tahoma"/>
          <w:bCs/>
        </w:rPr>
        <w:t xml:space="preserve">7 kegiatan, sedangkan untuk Program dan Kegiatan pada Belanja Langsung Urusan sebanyak </w:t>
      </w:r>
      <w:r>
        <w:rPr>
          <w:rFonts w:ascii="Tahoma" w:hAnsi="Tahoma" w:cs="Tahoma"/>
          <w:bCs/>
          <w:lang w:val="id-ID"/>
        </w:rPr>
        <w:t>4</w:t>
      </w:r>
      <w:r>
        <w:rPr>
          <w:rFonts w:ascii="Tahoma" w:hAnsi="Tahoma" w:cs="Tahoma"/>
          <w:bCs/>
        </w:rPr>
        <w:t xml:space="preserve"> program dengan 30 k</w:t>
      </w:r>
      <w:r>
        <w:rPr>
          <w:rFonts w:ascii="Tahoma" w:hAnsi="Tahoma" w:cs="Tahoma"/>
          <w:bCs/>
          <w:lang w:val="id-ID"/>
        </w:rPr>
        <w:t>egiatan.</w:t>
      </w:r>
    </w:p>
    <w:p>
      <w:pPr>
        <w:spacing w:before="120" w:after="120" w:line="360" w:lineRule="auto"/>
        <w:ind w:left="440"/>
        <w:jc w:val="both"/>
        <w:rPr>
          <w:rFonts w:ascii="Tahoma" w:hAnsi="Tahoma" w:cs="Tahoma"/>
          <w:bCs/>
        </w:rPr>
      </w:pPr>
      <w:r>
        <w:rPr>
          <w:rFonts w:ascii="Tahoma" w:hAnsi="Tahoma" w:cs="Tahoma"/>
          <w:bCs/>
        </w:rPr>
        <w:t>Untuk lebih jelasnya realisasi anggaran per program Tahun Anggaran 2020 dapat dilihat pada tabel dibawah ini.</w:t>
      </w:r>
    </w:p>
    <w:p>
      <w:pPr>
        <w:pStyle w:val="10"/>
        <w:ind w:left="993" w:hanging="446"/>
        <w:jc w:val="center"/>
        <w:rPr>
          <w:rFonts w:hint="default" w:ascii="Tahoma" w:hAnsi="Tahoma" w:cs="Tahoma"/>
          <w:b/>
          <w:bCs/>
          <w:sz w:val="22"/>
          <w:szCs w:val="22"/>
          <w:lang w:val="en-US"/>
        </w:rPr>
      </w:pPr>
      <w:r>
        <w:rPr>
          <w:rFonts w:ascii="Tahoma" w:hAnsi="Tahoma" w:cs="Tahoma"/>
          <w:b/>
          <w:bCs/>
          <w:sz w:val="22"/>
          <w:szCs w:val="22"/>
        </w:rPr>
        <w:t>Tabel 3.</w:t>
      </w:r>
      <w:r>
        <w:rPr>
          <w:rFonts w:hint="default" w:ascii="Tahoma" w:hAnsi="Tahoma" w:cs="Tahoma"/>
          <w:b/>
          <w:bCs/>
          <w:sz w:val="22"/>
          <w:szCs w:val="22"/>
          <w:lang w:val="en-US"/>
        </w:rPr>
        <w:t>13</w:t>
      </w:r>
    </w:p>
    <w:p>
      <w:pPr>
        <w:pStyle w:val="10"/>
        <w:spacing w:afterLines="100" w:line="240" w:lineRule="auto"/>
        <w:ind w:left="998" w:hanging="448"/>
        <w:jc w:val="center"/>
        <w:rPr>
          <w:rFonts w:ascii="Tahoma" w:hAnsi="Tahoma" w:cs="Tahoma"/>
          <w:bCs/>
        </w:rPr>
      </w:pPr>
      <w:r>
        <w:rPr>
          <w:rFonts w:ascii="Tahoma" w:hAnsi="Tahoma" w:cs="Tahoma"/>
          <w:b/>
          <w:bCs/>
          <w:sz w:val="22"/>
          <w:szCs w:val="22"/>
        </w:rPr>
        <w:t>Realisasi Anggaran Belanja Langsung Tahun Anggaran 2020</w:t>
      </w:r>
    </w:p>
    <w:tbl>
      <w:tblPr>
        <w:tblStyle w:val="7"/>
        <w:tblW w:w="9726" w:type="dxa"/>
        <w:tblInd w:w="19" w:type="dxa"/>
        <w:tblLayout w:type="fixed"/>
        <w:tblCellMar>
          <w:top w:w="0" w:type="dxa"/>
          <w:left w:w="108" w:type="dxa"/>
          <w:bottom w:w="0" w:type="dxa"/>
          <w:right w:w="108" w:type="dxa"/>
        </w:tblCellMar>
      </w:tblPr>
      <w:tblGrid>
        <w:gridCol w:w="558"/>
        <w:gridCol w:w="3108"/>
        <w:gridCol w:w="2170"/>
        <w:gridCol w:w="850"/>
        <w:gridCol w:w="2190"/>
        <w:gridCol w:w="850"/>
      </w:tblGrid>
      <w:tr>
        <w:tblPrEx>
          <w:tblCellMar>
            <w:top w:w="0" w:type="dxa"/>
            <w:left w:w="108" w:type="dxa"/>
            <w:bottom w:w="0" w:type="dxa"/>
            <w:right w:w="108" w:type="dxa"/>
          </w:tblCellMar>
        </w:tblPrEx>
        <w:trPr>
          <w:trHeight w:val="510" w:hRule="atLeast"/>
        </w:trPr>
        <w:tc>
          <w:tcPr>
            <w:tcW w:w="558" w:type="dxa"/>
            <w:vMerge w:val="restart"/>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pPr>
              <w:spacing w:after="0" w:line="240" w:lineRule="auto"/>
              <w:jc w:val="center"/>
              <w:rPr>
                <w:rFonts w:hint="default" w:ascii="Tahoma" w:hAnsi="Tahoma" w:eastAsia="Times New Roman" w:cs="Tahoma"/>
                <w:b/>
                <w:bCs/>
                <w:color w:val="000000"/>
                <w:sz w:val="22"/>
                <w:szCs w:val="22"/>
              </w:rPr>
            </w:pPr>
            <w:r>
              <w:rPr>
                <w:rFonts w:hint="default" w:ascii="Tahoma" w:hAnsi="Tahoma" w:eastAsia="Times New Roman" w:cs="Tahoma"/>
                <w:b/>
                <w:bCs/>
                <w:color w:val="000000"/>
                <w:sz w:val="22"/>
                <w:szCs w:val="22"/>
              </w:rPr>
              <w:t>NO</w:t>
            </w:r>
          </w:p>
        </w:tc>
        <w:tc>
          <w:tcPr>
            <w:tcW w:w="3108" w:type="dxa"/>
            <w:vMerge w:val="restart"/>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pPr>
              <w:spacing w:after="0" w:line="240" w:lineRule="auto"/>
              <w:jc w:val="center"/>
              <w:rPr>
                <w:rFonts w:hint="default" w:ascii="Tahoma" w:hAnsi="Tahoma" w:eastAsia="Times New Roman" w:cs="Tahoma"/>
                <w:b/>
                <w:bCs/>
                <w:color w:val="000000"/>
                <w:sz w:val="22"/>
                <w:szCs w:val="22"/>
              </w:rPr>
            </w:pPr>
            <w:r>
              <w:rPr>
                <w:rFonts w:hint="default" w:ascii="Tahoma" w:hAnsi="Tahoma" w:eastAsia="Times New Roman" w:cs="Tahoma"/>
                <w:b/>
                <w:bCs/>
                <w:color w:val="000000"/>
                <w:sz w:val="22"/>
                <w:szCs w:val="22"/>
              </w:rPr>
              <w:t>URAIAN</w:t>
            </w:r>
          </w:p>
        </w:tc>
        <w:tc>
          <w:tcPr>
            <w:tcW w:w="2170" w:type="dxa"/>
            <w:vMerge w:val="restart"/>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pPr>
              <w:spacing w:after="0" w:line="240" w:lineRule="auto"/>
              <w:jc w:val="center"/>
              <w:rPr>
                <w:rFonts w:hint="default" w:ascii="Tahoma" w:hAnsi="Tahoma" w:eastAsia="Times New Roman" w:cs="Tahoma"/>
                <w:b/>
                <w:bCs/>
                <w:color w:val="000000"/>
                <w:sz w:val="22"/>
                <w:szCs w:val="22"/>
              </w:rPr>
            </w:pPr>
            <w:r>
              <w:rPr>
                <w:rFonts w:hint="default" w:ascii="Tahoma" w:hAnsi="Tahoma" w:eastAsia="Times New Roman" w:cs="Tahoma"/>
                <w:b/>
                <w:bCs/>
                <w:color w:val="000000"/>
                <w:sz w:val="22"/>
                <w:szCs w:val="22"/>
              </w:rPr>
              <w:t>ANGGARAN TAHUN 2020</w:t>
            </w:r>
          </w:p>
        </w:tc>
        <w:tc>
          <w:tcPr>
            <w:tcW w:w="3890" w:type="dxa"/>
            <w:gridSpan w:val="3"/>
            <w:tcBorders>
              <w:top w:val="single" w:color="auto" w:sz="4" w:space="0"/>
              <w:left w:val="nil"/>
              <w:bottom w:val="single" w:color="auto" w:sz="4" w:space="0"/>
              <w:right w:val="single" w:color="auto" w:sz="4" w:space="0"/>
            </w:tcBorders>
            <w:shd w:val="clear" w:color="auto" w:fill="DCE6F2" w:themeFill="accent1" w:themeFillTint="32"/>
            <w:vAlign w:val="center"/>
          </w:tcPr>
          <w:p>
            <w:pPr>
              <w:spacing w:after="0" w:line="240" w:lineRule="auto"/>
              <w:jc w:val="center"/>
              <w:rPr>
                <w:rFonts w:hint="default" w:ascii="Tahoma" w:hAnsi="Tahoma" w:eastAsia="Times New Roman" w:cs="Tahoma"/>
                <w:b/>
                <w:bCs/>
                <w:color w:val="000000"/>
                <w:sz w:val="22"/>
                <w:szCs w:val="22"/>
              </w:rPr>
            </w:pPr>
            <w:r>
              <w:rPr>
                <w:rFonts w:hint="default" w:ascii="Tahoma" w:hAnsi="Tahoma" w:eastAsia="Times New Roman" w:cs="Tahoma"/>
                <w:b/>
                <w:bCs/>
                <w:color w:val="000000"/>
                <w:sz w:val="22"/>
                <w:szCs w:val="22"/>
              </w:rPr>
              <w:t>REALISASI</w:t>
            </w:r>
          </w:p>
        </w:tc>
      </w:tr>
      <w:tr>
        <w:tblPrEx>
          <w:tblCellMar>
            <w:top w:w="0" w:type="dxa"/>
            <w:left w:w="108" w:type="dxa"/>
            <w:bottom w:w="0" w:type="dxa"/>
            <w:right w:w="108" w:type="dxa"/>
          </w:tblCellMar>
        </w:tblPrEx>
        <w:trPr>
          <w:trHeight w:val="570" w:hRule="atLeast"/>
        </w:trPr>
        <w:tc>
          <w:tcPr>
            <w:tcW w:w="558" w:type="dxa"/>
            <w:vMerge w:val="continue"/>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pPr>
              <w:spacing w:after="0" w:line="240" w:lineRule="auto"/>
              <w:rPr>
                <w:rFonts w:hint="default" w:ascii="Tahoma" w:hAnsi="Tahoma" w:eastAsia="Times New Roman" w:cs="Tahoma"/>
                <w:b/>
                <w:bCs/>
                <w:color w:val="000000"/>
                <w:sz w:val="22"/>
                <w:szCs w:val="22"/>
              </w:rPr>
            </w:pPr>
          </w:p>
        </w:tc>
        <w:tc>
          <w:tcPr>
            <w:tcW w:w="3108" w:type="dxa"/>
            <w:vMerge w:val="continue"/>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pPr>
              <w:spacing w:after="0" w:line="240" w:lineRule="auto"/>
              <w:rPr>
                <w:rFonts w:hint="default" w:ascii="Tahoma" w:hAnsi="Tahoma" w:eastAsia="Times New Roman" w:cs="Tahoma"/>
                <w:b/>
                <w:bCs/>
                <w:color w:val="000000"/>
                <w:sz w:val="22"/>
                <w:szCs w:val="22"/>
              </w:rPr>
            </w:pPr>
          </w:p>
        </w:tc>
        <w:tc>
          <w:tcPr>
            <w:tcW w:w="2170" w:type="dxa"/>
            <w:vMerge w:val="continue"/>
            <w:tcBorders>
              <w:top w:val="single" w:color="auto" w:sz="4" w:space="0"/>
              <w:left w:val="single" w:color="auto" w:sz="4" w:space="0"/>
              <w:bottom w:val="single" w:color="auto" w:sz="4" w:space="0"/>
              <w:right w:val="single" w:color="auto" w:sz="4" w:space="0"/>
            </w:tcBorders>
            <w:shd w:val="clear" w:color="auto" w:fill="DCE6F2" w:themeFill="accent1" w:themeFillTint="32"/>
            <w:vAlign w:val="center"/>
          </w:tcPr>
          <w:p>
            <w:pPr>
              <w:spacing w:after="0" w:line="240" w:lineRule="auto"/>
              <w:rPr>
                <w:rFonts w:hint="default" w:ascii="Tahoma" w:hAnsi="Tahoma" w:eastAsia="Times New Roman" w:cs="Tahoma"/>
                <w:b/>
                <w:bCs/>
                <w:color w:val="000000"/>
                <w:sz w:val="22"/>
                <w:szCs w:val="22"/>
              </w:rPr>
            </w:pPr>
          </w:p>
        </w:tc>
        <w:tc>
          <w:tcPr>
            <w:tcW w:w="850" w:type="dxa"/>
            <w:tcBorders>
              <w:top w:val="nil"/>
              <w:left w:val="nil"/>
              <w:bottom w:val="single" w:color="auto" w:sz="4" w:space="0"/>
              <w:right w:val="single" w:color="auto" w:sz="4" w:space="0"/>
            </w:tcBorders>
            <w:shd w:val="clear" w:color="auto" w:fill="DCE6F2" w:themeFill="accent1" w:themeFillTint="32"/>
            <w:vAlign w:val="center"/>
          </w:tcPr>
          <w:p>
            <w:pPr>
              <w:spacing w:after="0" w:line="240" w:lineRule="auto"/>
              <w:jc w:val="center"/>
              <w:rPr>
                <w:rFonts w:hint="default" w:ascii="Tahoma" w:hAnsi="Tahoma" w:eastAsia="Times New Roman" w:cs="Tahoma"/>
                <w:b/>
                <w:bCs/>
                <w:color w:val="000000"/>
                <w:sz w:val="22"/>
                <w:szCs w:val="22"/>
              </w:rPr>
            </w:pPr>
            <w:r>
              <w:rPr>
                <w:rFonts w:hint="default" w:ascii="Tahoma" w:hAnsi="Tahoma" w:eastAsia="Times New Roman" w:cs="Tahoma"/>
                <w:b/>
                <w:bCs/>
                <w:color w:val="000000"/>
                <w:sz w:val="22"/>
                <w:szCs w:val="22"/>
              </w:rPr>
              <w:t>FISIK (%)</w:t>
            </w:r>
          </w:p>
        </w:tc>
        <w:tc>
          <w:tcPr>
            <w:tcW w:w="2190" w:type="dxa"/>
            <w:tcBorders>
              <w:top w:val="nil"/>
              <w:left w:val="nil"/>
              <w:bottom w:val="single" w:color="auto" w:sz="4" w:space="0"/>
              <w:right w:val="single" w:color="auto" w:sz="4" w:space="0"/>
            </w:tcBorders>
            <w:shd w:val="clear" w:color="auto" w:fill="DCE6F2" w:themeFill="accent1" w:themeFillTint="32"/>
            <w:vAlign w:val="center"/>
          </w:tcPr>
          <w:p>
            <w:pPr>
              <w:spacing w:after="0" w:line="240" w:lineRule="auto"/>
              <w:jc w:val="center"/>
              <w:rPr>
                <w:rFonts w:hint="default" w:ascii="Tahoma" w:hAnsi="Tahoma" w:eastAsia="Times New Roman" w:cs="Tahoma"/>
                <w:b/>
                <w:bCs/>
                <w:color w:val="000000"/>
                <w:sz w:val="22"/>
                <w:szCs w:val="22"/>
              </w:rPr>
            </w:pPr>
            <w:r>
              <w:rPr>
                <w:rFonts w:hint="default" w:ascii="Tahoma" w:hAnsi="Tahoma" w:eastAsia="Times New Roman" w:cs="Tahoma"/>
                <w:b/>
                <w:bCs/>
                <w:color w:val="000000"/>
                <w:sz w:val="22"/>
                <w:szCs w:val="22"/>
              </w:rPr>
              <w:t>KEUANGAN (Rp)</w:t>
            </w:r>
          </w:p>
        </w:tc>
        <w:tc>
          <w:tcPr>
            <w:tcW w:w="850" w:type="dxa"/>
            <w:tcBorders>
              <w:top w:val="nil"/>
              <w:left w:val="nil"/>
              <w:bottom w:val="single" w:color="auto" w:sz="4" w:space="0"/>
              <w:right w:val="single" w:color="auto" w:sz="4" w:space="0"/>
            </w:tcBorders>
            <w:shd w:val="clear" w:color="auto" w:fill="DCE6F2" w:themeFill="accent1" w:themeFillTint="32"/>
            <w:vAlign w:val="center"/>
          </w:tcPr>
          <w:p>
            <w:pPr>
              <w:spacing w:after="0" w:line="240" w:lineRule="auto"/>
              <w:jc w:val="center"/>
              <w:rPr>
                <w:rFonts w:hint="default" w:ascii="Tahoma" w:hAnsi="Tahoma" w:eastAsia="Times New Roman" w:cs="Tahoma"/>
                <w:b/>
                <w:bCs/>
                <w:color w:val="000000"/>
                <w:sz w:val="22"/>
                <w:szCs w:val="22"/>
              </w:rPr>
            </w:pPr>
            <w:r>
              <w:rPr>
                <w:rFonts w:hint="default" w:ascii="Tahoma" w:hAnsi="Tahoma" w:eastAsia="Times New Roman" w:cs="Tahoma"/>
                <w:b/>
                <w:bCs/>
                <w:color w:val="000000"/>
                <w:sz w:val="22"/>
                <w:szCs w:val="22"/>
              </w:rPr>
              <w:t>%</w:t>
            </w:r>
          </w:p>
        </w:tc>
      </w:tr>
      <w:tr>
        <w:tblPrEx>
          <w:tblCellMar>
            <w:top w:w="0" w:type="dxa"/>
            <w:left w:w="108" w:type="dxa"/>
            <w:bottom w:w="0" w:type="dxa"/>
            <w:right w:w="108" w:type="dxa"/>
          </w:tblCellMar>
        </w:tblPrEx>
        <w:trPr>
          <w:trHeight w:val="300" w:hRule="atLeast"/>
        </w:trPr>
        <w:tc>
          <w:tcPr>
            <w:tcW w:w="558" w:type="dxa"/>
            <w:tcBorders>
              <w:top w:val="nil"/>
              <w:left w:val="single" w:color="auto" w:sz="4" w:space="0"/>
              <w:bottom w:val="double" w:color="auto" w:sz="6" w:space="0"/>
              <w:right w:val="single" w:color="auto" w:sz="4" w:space="0"/>
            </w:tcBorders>
            <w:shd w:val="clear" w:color="auto" w:fill="DCE6F2" w:themeFill="accent1" w:themeFillTint="32"/>
            <w:noWrap/>
          </w:tcPr>
          <w:p>
            <w:pPr>
              <w:spacing w:after="0" w:line="240" w:lineRule="auto"/>
              <w:jc w:val="center"/>
              <w:rPr>
                <w:rFonts w:hint="default" w:ascii="Tahoma" w:hAnsi="Tahoma" w:eastAsia="Times New Roman" w:cs="Tahoma"/>
                <w:b/>
                <w:bCs/>
                <w:color w:val="000000"/>
                <w:sz w:val="22"/>
                <w:szCs w:val="22"/>
              </w:rPr>
            </w:pPr>
            <w:r>
              <w:rPr>
                <w:rFonts w:hint="default" w:ascii="Tahoma" w:hAnsi="Tahoma" w:eastAsia="Times New Roman" w:cs="Tahoma"/>
                <w:b/>
                <w:bCs/>
                <w:color w:val="000000"/>
                <w:sz w:val="22"/>
                <w:szCs w:val="22"/>
              </w:rPr>
              <w:t>1</w:t>
            </w:r>
          </w:p>
        </w:tc>
        <w:tc>
          <w:tcPr>
            <w:tcW w:w="3108" w:type="dxa"/>
            <w:tcBorders>
              <w:top w:val="nil"/>
              <w:left w:val="nil"/>
              <w:bottom w:val="double" w:color="auto" w:sz="6" w:space="0"/>
              <w:right w:val="single" w:color="auto" w:sz="4" w:space="0"/>
            </w:tcBorders>
            <w:shd w:val="clear" w:color="auto" w:fill="DCE6F2" w:themeFill="accent1" w:themeFillTint="32"/>
            <w:noWrap/>
          </w:tcPr>
          <w:p>
            <w:pPr>
              <w:spacing w:after="0" w:line="240" w:lineRule="auto"/>
              <w:jc w:val="center"/>
              <w:rPr>
                <w:rFonts w:hint="default" w:ascii="Tahoma" w:hAnsi="Tahoma" w:eastAsia="Times New Roman" w:cs="Tahoma"/>
                <w:b/>
                <w:bCs/>
                <w:color w:val="000000"/>
                <w:sz w:val="22"/>
                <w:szCs w:val="22"/>
              </w:rPr>
            </w:pPr>
            <w:r>
              <w:rPr>
                <w:rFonts w:hint="default" w:ascii="Tahoma" w:hAnsi="Tahoma" w:eastAsia="Times New Roman" w:cs="Tahoma"/>
                <w:b/>
                <w:bCs/>
                <w:color w:val="000000"/>
                <w:sz w:val="22"/>
                <w:szCs w:val="22"/>
              </w:rPr>
              <w:t>2</w:t>
            </w:r>
          </w:p>
        </w:tc>
        <w:tc>
          <w:tcPr>
            <w:tcW w:w="2170" w:type="dxa"/>
            <w:tcBorders>
              <w:top w:val="nil"/>
              <w:left w:val="nil"/>
              <w:bottom w:val="double" w:color="auto" w:sz="6" w:space="0"/>
              <w:right w:val="single" w:color="auto" w:sz="4" w:space="0"/>
            </w:tcBorders>
            <w:shd w:val="clear" w:color="auto" w:fill="DCE6F2" w:themeFill="accent1" w:themeFillTint="32"/>
            <w:noWrap/>
          </w:tcPr>
          <w:p>
            <w:pPr>
              <w:spacing w:after="0" w:line="240" w:lineRule="auto"/>
              <w:jc w:val="center"/>
              <w:rPr>
                <w:rFonts w:hint="default" w:ascii="Tahoma" w:hAnsi="Tahoma" w:eastAsia="Times New Roman" w:cs="Tahoma"/>
                <w:b/>
                <w:bCs/>
                <w:color w:val="000000"/>
                <w:sz w:val="22"/>
                <w:szCs w:val="22"/>
              </w:rPr>
            </w:pPr>
            <w:r>
              <w:rPr>
                <w:rFonts w:hint="default" w:ascii="Tahoma" w:hAnsi="Tahoma" w:eastAsia="Times New Roman" w:cs="Tahoma"/>
                <w:b/>
                <w:bCs/>
                <w:color w:val="000000"/>
                <w:sz w:val="22"/>
                <w:szCs w:val="22"/>
              </w:rPr>
              <w:t>3</w:t>
            </w:r>
          </w:p>
        </w:tc>
        <w:tc>
          <w:tcPr>
            <w:tcW w:w="850" w:type="dxa"/>
            <w:tcBorders>
              <w:top w:val="nil"/>
              <w:left w:val="nil"/>
              <w:bottom w:val="double" w:color="auto" w:sz="6" w:space="0"/>
              <w:right w:val="single" w:color="auto" w:sz="4" w:space="0"/>
            </w:tcBorders>
            <w:shd w:val="clear" w:color="auto" w:fill="DCE6F2" w:themeFill="accent1" w:themeFillTint="32"/>
            <w:noWrap/>
          </w:tcPr>
          <w:p>
            <w:pPr>
              <w:spacing w:after="0" w:line="240" w:lineRule="auto"/>
              <w:jc w:val="center"/>
              <w:rPr>
                <w:rFonts w:hint="default" w:ascii="Tahoma" w:hAnsi="Tahoma" w:eastAsia="Times New Roman" w:cs="Tahoma"/>
                <w:b/>
                <w:bCs/>
                <w:color w:val="000000"/>
                <w:sz w:val="22"/>
                <w:szCs w:val="22"/>
              </w:rPr>
            </w:pPr>
            <w:r>
              <w:rPr>
                <w:rFonts w:hint="default" w:ascii="Tahoma" w:hAnsi="Tahoma" w:eastAsia="Times New Roman" w:cs="Tahoma"/>
                <w:b/>
                <w:bCs/>
                <w:color w:val="000000"/>
                <w:sz w:val="22"/>
                <w:szCs w:val="22"/>
              </w:rPr>
              <w:t>4</w:t>
            </w:r>
          </w:p>
        </w:tc>
        <w:tc>
          <w:tcPr>
            <w:tcW w:w="2190" w:type="dxa"/>
            <w:tcBorders>
              <w:top w:val="nil"/>
              <w:left w:val="nil"/>
              <w:bottom w:val="double" w:color="auto" w:sz="6" w:space="0"/>
              <w:right w:val="single" w:color="auto" w:sz="4" w:space="0"/>
            </w:tcBorders>
            <w:shd w:val="clear" w:color="auto" w:fill="DCE6F2" w:themeFill="accent1" w:themeFillTint="32"/>
            <w:noWrap/>
          </w:tcPr>
          <w:p>
            <w:pPr>
              <w:spacing w:after="0" w:line="240" w:lineRule="auto"/>
              <w:jc w:val="center"/>
              <w:rPr>
                <w:rFonts w:hint="default" w:ascii="Tahoma" w:hAnsi="Tahoma" w:eastAsia="Times New Roman" w:cs="Tahoma"/>
                <w:b/>
                <w:bCs/>
                <w:color w:val="000000"/>
                <w:sz w:val="22"/>
                <w:szCs w:val="22"/>
              </w:rPr>
            </w:pPr>
            <w:r>
              <w:rPr>
                <w:rFonts w:hint="default" w:ascii="Tahoma" w:hAnsi="Tahoma" w:eastAsia="Times New Roman" w:cs="Tahoma"/>
                <w:b/>
                <w:bCs/>
                <w:color w:val="000000"/>
                <w:sz w:val="22"/>
                <w:szCs w:val="22"/>
              </w:rPr>
              <w:t>5</w:t>
            </w:r>
          </w:p>
        </w:tc>
        <w:tc>
          <w:tcPr>
            <w:tcW w:w="850" w:type="dxa"/>
            <w:tcBorders>
              <w:top w:val="nil"/>
              <w:left w:val="nil"/>
              <w:bottom w:val="double" w:color="auto" w:sz="6" w:space="0"/>
              <w:right w:val="single" w:color="auto" w:sz="4" w:space="0"/>
            </w:tcBorders>
            <w:shd w:val="clear" w:color="auto" w:fill="DCE6F2" w:themeFill="accent1" w:themeFillTint="32"/>
            <w:noWrap/>
          </w:tcPr>
          <w:p>
            <w:pPr>
              <w:spacing w:after="0" w:line="240" w:lineRule="auto"/>
              <w:jc w:val="center"/>
              <w:rPr>
                <w:rFonts w:hint="default" w:ascii="Tahoma" w:hAnsi="Tahoma" w:eastAsia="Times New Roman" w:cs="Tahoma"/>
                <w:b/>
                <w:bCs/>
                <w:color w:val="000000"/>
                <w:sz w:val="22"/>
                <w:szCs w:val="22"/>
              </w:rPr>
            </w:pPr>
            <w:r>
              <w:rPr>
                <w:rFonts w:hint="default" w:ascii="Tahoma" w:hAnsi="Tahoma" w:eastAsia="Times New Roman" w:cs="Tahoma"/>
                <w:b/>
                <w:bCs/>
                <w:color w:val="000000"/>
                <w:sz w:val="22"/>
                <w:szCs w:val="22"/>
              </w:rPr>
              <w:t>6</w:t>
            </w:r>
          </w:p>
        </w:tc>
      </w:tr>
      <w:tr>
        <w:tblPrEx>
          <w:tblCellMar>
            <w:top w:w="0" w:type="dxa"/>
            <w:left w:w="108" w:type="dxa"/>
            <w:bottom w:w="0" w:type="dxa"/>
            <w:right w:w="108" w:type="dxa"/>
          </w:tblCellMar>
        </w:tblPrEx>
        <w:trPr>
          <w:trHeight w:val="300" w:hRule="atLeast"/>
        </w:trPr>
        <w:tc>
          <w:tcPr>
            <w:tcW w:w="558" w:type="dxa"/>
            <w:tcBorders>
              <w:top w:val="nil"/>
              <w:left w:val="single" w:color="auto" w:sz="4" w:space="0"/>
              <w:bottom w:val="single" w:color="auto" w:sz="4" w:space="0"/>
              <w:right w:val="single" w:color="auto" w:sz="4" w:space="0"/>
            </w:tcBorders>
            <w:shd w:val="clear" w:color="auto" w:fill="FEF3EB"/>
            <w:noWrap/>
          </w:tcPr>
          <w:p>
            <w:pPr>
              <w:spacing w:after="0" w:line="240" w:lineRule="auto"/>
              <w:rPr>
                <w:rFonts w:hint="default" w:ascii="Tahoma" w:hAnsi="Tahoma" w:eastAsia="Times New Roman" w:cs="Tahoma"/>
                <w:color w:val="000000"/>
                <w:sz w:val="22"/>
                <w:szCs w:val="22"/>
              </w:rPr>
            </w:pPr>
            <w:r>
              <w:rPr>
                <w:rFonts w:hint="default" w:ascii="Tahoma" w:hAnsi="Tahoma" w:eastAsia="Times New Roman" w:cs="Tahoma"/>
                <w:color w:val="000000"/>
                <w:sz w:val="22"/>
                <w:szCs w:val="22"/>
              </w:rPr>
              <w:t> </w:t>
            </w:r>
          </w:p>
        </w:tc>
        <w:tc>
          <w:tcPr>
            <w:tcW w:w="3108" w:type="dxa"/>
            <w:tcBorders>
              <w:top w:val="nil"/>
              <w:left w:val="nil"/>
              <w:bottom w:val="single" w:color="auto" w:sz="4" w:space="0"/>
              <w:right w:val="single" w:color="auto" w:sz="4" w:space="0"/>
            </w:tcBorders>
            <w:shd w:val="clear" w:color="auto" w:fill="FEF3EB"/>
            <w:noWrap/>
          </w:tcPr>
          <w:p>
            <w:pPr>
              <w:spacing w:after="0" w:line="240" w:lineRule="auto"/>
              <w:rPr>
                <w:rFonts w:hint="default" w:ascii="Tahoma" w:hAnsi="Tahoma" w:eastAsia="Times New Roman" w:cs="Tahoma"/>
                <w:b/>
                <w:bCs/>
                <w:color w:val="000000"/>
                <w:sz w:val="22"/>
                <w:szCs w:val="22"/>
              </w:rPr>
            </w:pPr>
            <w:r>
              <w:rPr>
                <w:rFonts w:hint="default" w:ascii="Tahoma" w:hAnsi="Tahoma" w:eastAsia="Times New Roman" w:cs="Tahoma"/>
                <w:b/>
                <w:bCs/>
                <w:color w:val="000000"/>
                <w:sz w:val="22"/>
                <w:szCs w:val="22"/>
              </w:rPr>
              <w:t>BELANJA LANGSUNG POKOK</w:t>
            </w:r>
          </w:p>
        </w:tc>
        <w:tc>
          <w:tcPr>
            <w:tcW w:w="2170" w:type="dxa"/>
            <w:tcBorders>
              <w:top w:val="nil"/>
              <w:left w:val="nil"/>
              <w:bottom w:val="single" w:color="auto" w:sz="4" w:space="0"/>
              <w:right w:val="single" w:color="auto" w:sz="4" w:space="0"/>
            </w:tcBorders>
            <w:shd w:val="clear" w:color="auto" w:fill="FEF3EB"/>
            <w:noWrap/>
          </w:tcPr>
          <w:p>
            <w:pPr>
              <w:spacing w:after="0" w:line="240" w:lineRule="auto"/>
              <w:jc w:val="right"/>
              <w:rPr>
                <w:rFonts w:hint="default" w:ascii="Tahoma" w:hAnsi="Tahoma" w:eastAsia="Times New Roman" w:cs="Tahoma"/>
                <w:b/>
                <w:bCs/>
                <w:color w:val="000000" w:themeColor="text1"/>
                <w:sz w:val="22"/>
                <w:szCs w:val="22"/>
                <w14:textFill>
                  <w14:solidFill>
                    <w14:schemeClr w14:val="tx1"/>
                  </w14:solidFill>
                </w14:textFill>
              </w:rPr>
            </w:pPr>
            <w:r>
              <w:rPr>
                <w:rFonts w:hint="default" w:ascii="Tahoma" w:hAnsi="Tahoma" w:eastAsia="Times New Roman" w:cs="Tahoma"/>
                <w:b/>
                <w:bCs/>
                <w:color w:val="000000" w:themeColor="text1"/>
                <w:sz w:val="22"/>
                <w:szCs w:val="22"/>
                <w14:textFill>
                  <w14:solidFill>
                    <w14:schemeClr w14:val="tx1"/>
                  </w14:solidFill>
                </w14:textFill>
              </w:rPr>
              <w:t>18.321.822.584,-</w:t>
            </w:r>
          </w:p>
        </w:tc>
        <w:tc>
          <w:tcPr>
            <w:tcW w:w="850" w:type="dxa"/>
            <w:tcBorders>
              <w:top w:val="nil"/>
              <w:left w:val="nil"/>
              <w:bottom w:val="single" w:color="auto" w:sz="4" w:space="0"/>
              <w:right w:val="single" w:color="auto" w:sz="4" w:space="0"/>
            </w:tcBorders>
            <w:shd w:val="clear" w:color="auto" w:fill="FEF3EB"/>
            <w:noWrap/>
          </w:tcPr>
          <w:p>
            <w:pPr>
              <w:spacing w:after="0" w:line="240" w:lineRule="auto"/>
              <w:ind w:left="-108"/>
              <w:jc w:val="right"/>
              <w:rPr>
                <w:rFonts w:hint="default" w:ascii="Tahoma" w:hAnsi="Tahoma" w:eastAsia="Times New Roman" w:cs="Tahoma"/>
                <w:b/>
                <w:bCs/>
                <w:color w:val="000000" w:themeColor="text1"/>
                <w:sz w:val="22"/>
                <w:szCs w:val="22"/>
                <w:lang w:val="id-ID"/>
                <w14:textFill>
                  <w14:solidFill>
                    <w14:schemeClr w14:val="tx1"/>
                  </w14:solidFill>
                </w14:textFill>
              </w:rPr>
            </w:pPr>
            <w:r>
              <w:rPr>
                <w:rFonts w:hint="default" w:ascii="Tahoma" w:hAnsi="Tahoma" w:eastAsia="Times New Roman" w:cs="Tahoma"/>
                <w:b/>
                <w:bCs/>
                <w:color w:val="000000" w:themeColor="text1"/>
                <w:sz w:val="22"/>
                <w:szCs w:val="22"/>
                <w14:textFill>
                  <w14:solidFill>
                    <w14:schemeClr w14:val="tx1"/>
                  </w14:solidFill>
                </w14:textFill>
              </w:rPr>
              <w:t>100</w:t>
            </w:r>
          </w:p>
        </w:tc>
        <w:tc>
          <w:tcPr>
            <w:tcW w:w="2190" w:type="dxa"/>
            <w:tcBorders>
              <w:top w:val="nil"/>
              <w:left w:val="nil"/>
              <w:bottom w:val="single" w:color="auto" w:sz="4" w:space="0"/>
              <w:right w:val="single" w:color="auto" w:sz="4" w:space="0"/>
            </w:tcBorders>
            <w:shd w:val="clear" w:color="auto" w:fill="FEF3EB"/>
            <w:noWrap/>
          </w:tcPr>
          <w:p>
            <w:pPr>
              <w:spacing w:after="0" w:line="240" w:lineRule="auto"/>
              <w:jc w:val="right"/>
              <w:rPr>
                <w:rFonts w:hint="default" w:ascii="Tahoma" w:hAnsi="Tahoma" w:eastAsia="Times New Roman" w:cs="Tahoma"/>
                <w:b/>
                <w:bCs/>
                <w:color w:val="000000" w:themeColor="text1"/>
                <w:sz w:val="22"/>
                <w:szCs w:val="22"/>
                <w14:textFill>
                  <w14:solidFill>
                    <w14:schemeClr w14:val="tx1"/>
                  </w14:solidFill>
                </w14:textFill>
              </w:rPr>
            </w:pPr>
            <w:r>
              <w:rPr>
                <w:rFonts w:hint="default" w:ascii="Tahoma" w:hAnsi="Tahoma" w:eastAsia="Times New Roman" w:cs="Tahoma"/>
                <w:b/>
                <w:bCs/>
                <w:color w:val="000000" w:themeColor="text1"/>
                <w:sz w:val="22"/>
                <w:szCs w:val="22"/>
                <w14:textFill>
                  <w14:solidFill>
                    <w14:schemeClr w14:val="tx1"/>
                  </w14:solidFill>
                </w14:textFill>
              </w:rPr>
              <w:t>17.165.168.706,-</w:t>
            </w:r>
          </w:p>
        </w:tc>
        <w:tc>
          <w:tcPr>
            <w:tcW w:w="850" w:type="dxa"/>
            <w:tcBorders>
              <w:top w:val="nil"/>
              <w:left w:val="nil"/>
              <w:bottom w:val="single" w:color="auto" w:sz="4" w:space="0"/>
              <w:right w:val="single" w:color="auto" w:sz="4" w:space="0"/>
            </w:tcBorders>
            <w:shd w:val="clear" w:color="auto" w:fill="FEF3EB"/>
            <w:noWrap/>
          </w:tcPr>
          <w:p>
            <w:pPr>
              <w:spacing w:after="0" w:line="240" w:lineRule="auto"/>
              <w:jc w:val="right"/>
              <w:rPr>
                <w:rFonts w:hint="default" w:ascii="Tahoma" w:hAnsi="Tahoma" w:eastAsia="Times New Roman" w:cs="Tahoma"/>
                <w:b/>
                <w:bCs/>
                <w:color w:val="000000" w:themeColor="text1"/>
                <w:sz w:val="22"/>
                <w:szCs w:val="22"/>
                <w14:textFill>
                  <w14:solidFill>
                    <w14:schemeClr w14:val="tx1"/>
                  </w14:solidFill>
                </w14:textFill>
              </w:rPr>
            </w:pPr>
            <w:r>
              <w:rPr>
                <w:rFonts w:hint="default" w:ascii="Tahoma" w:hAnsi="Tahoma" w:eastAsia="Times New Roman" w:cs="Tahoma"/>
                <w:b/>
                <w:bCs/>
                <w:color w:val="000000" w:themeColor="text1"/>
                <w:sz w:val="22"/>
                <w:szCs w:val="22"/>
                <w14:textFill>
                  <w14:solidFill>
                    <w14:schemeClr w14:val="tx1"/>
                  </w14:solidFill>
                </w14:textFill>
              </w:rPr>
              <w:t>93,69</w:t>
            </w:r>
          </w:p>
        </w:tc>
      </w:tr>
      <w:tr>
        <w:tblPrEx>
          <w:tblCellMar>
            <w:top w:w="0" w:type="dxa"/>
            <w:left w:w="108" w:type="dxa"/>
            <w:bottom w:w="0" w:type="dxa"/>
            <w:right w:w="108" w:type="dxa"/>
          </w:tblCellMar>
        </w:tblPrEx>
        <w:trPr>
          <w:trHeight w:val="345" w:hRule="atLeast"/>
        </w:trPr>
        <w:tc>
          <w:tcPr>
            <w:tcW w:w="558" w:type="dxa"/>
            <w:tcBorders>
              <w:top w:val="nil"/>
              <w:left w:val="single" w:color="auto" w:sz="4" w:space="0"/>
              <w:bottom w:val="single" w:color="auto" w:sz="4" w:space="0"/>
              <w:right w:val="single" w:color="auto" w:sz="4" w:space="0"/>
            </w:tcBorders>
            <w:shd w:val="clear" w:color="auto" w:fill="EBF1DE" w:themeFill="accent3" w:themeFillTint="32"/>
            <w:noWrap/>
          </w:tcPr>
          <w:p>
            <w:pPr>
              <w:spacing w:after="0" w:line="240" w:lineRule="auto"/>
              <w:jc w:val="center"/>
              <w:rPr>
                <w:rFonts w:hint="default" w:ascii="Tahoma" w:hAnsi="Tahoma" w:eastAsia="Times New Roman" w:cs="Tahoma"/>
                <w:color w:val="000000"/>
                <w:sz w:val="22"/>
                <w:szCs w:val="22"/>
              </w:rPr>
            </w:pPr>
            <w:r>
              <w:rPr>
                <w:rFonts w:hint="default" w:ascii="Tahoma" w:hAnsi="Tahoma" w:eastAsia="Times New Roman" w:cs="Tahoma"/>
                <w:color w:val="000000"/>
                <w:sz w:val="22"/>
                <w:szCs w:val="22"/>
              </w:rPr>
              <w:t>1</w:t>
            </w:r>
          </w:p>
        </w:tc>
        <w:tc>
          <w:tcPr>
            <w:tcW w:w="3108" w:type="dxa"/>
            <w:tcBorders>
              <w:top w:val="nil"/>
              <w:left w:val="nil"/>
              <w:bottom w:val="single" w:color="auto" w:sz="4" w:space="0"/>
              <w:right w:val="single" w:color="auto" w:sz="4" w:space="0"/>
            </w:tcBorders>
            <w:shd w:val="clear" w:color="auto" w:fill="EBF1DE" w:themeFill="accent3" w:themeFillTint="32"/>
          </w:tcPr>
          <w:p>
            <w:pPr>
              <w:spacing w:after="0" w:line="240" w:lineRule="auto"/>
              <w:rPr>
                <w:rFonts w:hint="default" w:ascii="Tahoma" w:hAnsi="Tahoma" w:eastAsia="Times New Roman" w:cs="Tahoma"/>
                <w:color w:val="000000" w:themeColor="text1"/>
                <w:sz w:val="22"/>
                <w:szCs w:val="22"/>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Program Pelayanan Administrasi Perkantoran</w:t>
            </w:r>
          </w:p>
        </w:tc>
        <w:tc>
          <w:tcPr>
            <w:tcW w:w="2170" w:type="dxa"/>
            <w:tcBorders>
              <w:top w:val="nil"/>
              <w:left w:val="nil"/>
              <w:bottom w:val="single" w:color="auto" w:sz="4" w:space="0"/>
              <w:right w:val="single" w:color="auto" w:sz="4" w:space="0"/>
            </w:tcBorders>
            <w:shd w:val="clear" w:color="auto" w:fill="EBF1DE" w:themeFill="accent3" w:themeFillTint="32"/>
          </w:tcPr>
          <w:p>
            <w:pPr>
              <w:spacing w:after="0" w:line="240" w:lineRule="auto"/>
              <w:jc w:val="right"/>
              <w:rPr>
                <w:rFonts w:hint="default" w:ascii="Tahoma" w:hAnsi="Tahoma" w:eastAsia="Times New Roman" w:cs="Tahoma"/>
                <w:color w:val="000000" w:themeColor="text1"/>
                <w:sz w:val="22"/>
                <w:szCs w:val="22"/>
                <w:lang w:val="id-ID"/>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10.856.269.767</w:t>
            </w:r>
            <w:r>
              <w:rPr>
                <w:rFonts w:hint="default" w:ascii="Tahoma" w:hAnsi="Tahoma" w:eastAsia="Times New Roman" w:cs="Tahoma"/>
                <w:color w:val="000000" w:themeColor="text1"/>
                <w:sz w:val="22"/>
                <w:szCs w:val="22"/>
                <w:lang w:val="id-ID"/>
                <w14:textFill>
                  <w14:solidFill>
                    <w14:schemeClr w14:val="tx1"/>
                  </w14:solidFill>
                </w14:textFill>
              </w:rPr>
              <w:t>,-</w:t>
            </w:r>
          </w:p>
          <w:p>
            <w:pPr>
              <w:spacing w:after="0" w:line="240" w:lineRule="auto"/>
              <w:jc w:val="right"/>
              <w:rPr>
                <w:rFonts w:hint="default" w:ascii="Tahoma" w:hAnsi="Tahoma" w:eastAsia="Times New Roman" w:cs="Tahoma"/>
                <w:color w:val="000000" w:themeColor="text1"/>
                <w:sz w:val="22"/>
                <w:szCs w:val="22"/>
                <w14:textFill>
                  <w14:solidFill>
                    <w14:schemeClr w14:val="tx1"/>
                  </w14:solidFill>
                </w14:textFill>
              </w:rPr>
            </w:pPr>
          </w:p>
        </w:tc>
        <w:tc>
          <w:tcPr>
            <w:tcW w:w="85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lang w:val="id-ID"/>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100</w:t>
            </w:r>
          </w:p>
        </w:tc>
        <w:tc>
          <w:tcPr>
            <w:tcW w:w="219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lang w:val="id-ID"/>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10.344.570.679</w:t>
            </w:r>
            <w:r>
              <w:rPr>
                <w:rFonts w:hint="default" w:ascii="Tahoma" w:hAnsi="Tahoma" w:eastAsia="Times New Roman" w:cs="Tahoma"/>
                <w:color w:val="000000" w:themeColor="text1"/>
                <w:sz w:val="22"/>
                <w:szCs w:val="22"/>
                <w:lang w:val="id-ID"/>
                <w14:textFill>
                  <w14:solidFill>
                    <w14:schemeClr w14:val="tx1"/>
                  </w14:solidFill>
                </w14:textFill>
              </w:rPr>
              <w:t>,-</w:t>
            </w:r>
          </w:p>
        </w:tc>
        <w:tc>
          <w:tcPr>
            <w:tcW w:w="85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95,29</w:t>
            </w:r>
          </w:p>
        </w:tc>
      </w:tr>
      <w:tr>
        <w:tblPrEx>
          <w:tblCellMar>
            <w:top w:w="0" w:type="dxa"/>
            <w:left w:w="108" w:type="dxa"/>
            <w:bottom w:w="0" w:type="dxa"/>
            <w:right w:w="108" w:type="dxa"/>
          </w:tblCellMar>
        </w:tblPrEx>
        <w:trPr>
          <w:trHeight w:val="555" w:hRule="atLeast"/>
        </w:trPr>
        <w:tc>
          <w:tcPr>
            <w:tcW w:w="558" w:type="dxa"/>
            <w:tcBorders>
              <w:top w:val="nil"/>
              <w:left w:val="single" w:color="auto" w:sz="4" w:space="0"/>
              <w:bottom w:val="single" w:color="auto" w:sz="4" w:space="0"/>
              <w:right w:val="single" w:color="auto" w:sz="4" w:space="0"/>
            </w:tcBorders>
            <w:shd w:val="clear" w:color="auto" w:fill="EBF1DE" w:themeFill="accent3" w:themeFillTint="32"/>
            <w:noWrap/>
          </w:tcPr>
          <w:p>
            <w:pPr>
              <w:spacing w:after="0" w:line="240" w:lineRule="auto"/>
              <w:jc w:val="center"/>
              <w:rPr>
                <w:rFonts w:hint="default" w:ascii="Tahoma" w:hAnsi="Tahoma" w:eastAsia="Times New Roman" w:cs="Tahoma"/>
                <w:color w:val="000000" w:themeColor="text1"/>
                <w:sz w:val="22"/>
                <w:szCs w:val="22"/>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2</w:t>
            </w:r>
          </w:p>
        </w:tc>
        <w:tc>
          <w:tcPr>
            <w:tcW w:w="3108" w:type="dxa"/>
            <w:tcBorders>
              <w:top w:val="nil"/>
              <w:left w:val="nil"/>
              <w:bottom w:val="single" w:color="auto" w:sz="4" w:space="0"/>
              <w:right w:val="single" w:color="auto" w:sz="4" w:space="0"/>
            </w:tcBorders>
            <w:shd w:val="clear" w:color="auto" w:fill="EBF1DE" w:themeFill="accent3" w:themeFillTint="32"/>
          </w:tcPr>
          <w:p>
            <w:pPr>
              <w:spacing w:after="0" w:line="240" w:lineRule="auto"/>
              <w:rPr>
                <w:rFonts w:hint="default" w:ascii="Tahoma" w:hAnsi="Tahoma" w:eastAsia="Times New Roman" w:cs="Tahoma"/>
                <w:color w:val="000000" w:themeColor="text1"/>
                <w:sz w:val="22"/>
                <w:szCs w:val="22"/>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Program Peningkatan Sarana dan Prasarana Aparatur</w:t>
            </w:r>
          </w:p>
        </w:tc>
        <w:tc>
          <w:tcPr>
            <w:tcW w:w="2170" w:type="dxa"/>
            <w:tcBorders>
              <w:top w:val="nil"/>
              <w:left w:val="nil"/>
              <w:bottom w:val="single" w:color="auto" w:sz="4" w:space="0"/>
              <w:right w:val="single" w:color="auto" w:sz="4" w:space="0"/>
            </w:tcBorders>
            <w:shd w:val="clear" w:color="auto" w:fill="EBF1DE" w:themeFill="accent3" w:themeFillTint="32"/>
          </w:tcPr>
          <w:p>
            <w:pPr>
              <w:spacing w:after="0" w:line="240" w:lineRule="auto"/>
              <w:jc w:val="right"/>
              <w:rPr>
                <w:rFonts w:hint="default" w:ascii="Tahoma" w:hAnsi="Tahoma" w:eastAsia="Times New Roman" w:cs="Tahoma"/>
                <w:color w:val="000000" w:themeColor="text1"/>
                <w:sz w:val="22"/>
                <w:szCs w:val="22"/>
                <w:lang w:val="id-ID"/>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5.643.027.137</w:t>
            </w:r>
            <w:r>
              <w:rPr>
                <w:rFonts w:hint="default" w:ascii="Tahoma" w:hAnsi="Tahoma" w:eastAsia="Times New Roman" w:cs="Tahoma"/>
                <w:color w:val="000000" w:themeColor="text1"/>
                <w:sz w:val="22"/>
                <w:szCs w:val="22"/>
                <w:lang w:val="id-ID"/>
                <w14:textFill>
                  <w14:solidFill>
                    <w14:schemeClr w14:val="tx1"/>
                  </w14:solidFill>
                </w14:textFill>
              </w:rPr>
              <w:t>,-</w:t>
            </w:r>
          </w:p>
        </w:tc>
        <w:tc>
          <w:tcPr>
            <w:tcW w:w="85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lang w:val="id-ID"/>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100</w:t>
            </w:r>
          </w:p>
        </w:tc>
        <w:tc>
          <w:tcPr>
            <w:tcW w:w="219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lang w:val="id-ID"/>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5.098.102.970</w:t>
            </w:r>
            <w:r>
              <w:rPr>
                <w:rFonts w:hint="default" w:ascii="Tahoma" w:hAnsi="Tahoma" w:eastAsia="Times New Roman" w:cs="Tahoma"/>
                <w:color w:val="000000" w:themeColor="text1"/>
                <w:sz w:val="22"/>
                <w:szCs w:val="22"/>
                <w:lang w:val="id-ID"/>
                <w14:textFill>
                  <w14:solidFill>
                    <w14:schemeClr w14:val="tx1"/>
                  </w14:solidFill>
                </w14:textFill>
              </w:rPr>
              <w:t>,-</w:t>
            </w:r>
          </w:p>
        </w:tc>
        <w:tc>
          <w:tcPr>
            <w:tcW w:w="85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90,34</w:t>
            </w:r>
          </w:p>
        </w:tc>
      </w:tr>
      <w:tr>
        <w:tblPrEx>
          <w:tblCellMar>
            <w:top w:w="0" w:type="dxa"/>
            <w:left w:w="108" w:type="dxa"/>
            <w:bottom w:w="0" w:type="dxa"/>
            <w:right w:w="108" w:type="dxa"/>
          </w:tblCellMar>
        </w:tblPrEx>
        <w:trPr>
          <w:trHeight w:val="375" w:hRule="atLeast"/>
        </w:trPr>
        <w:tc>
          <w:tcPr>
            <w:tcW w:w="558" w:type="dxa"/>
            <w:tcBorders>
              <w:top w:val="nil"/>
              <w:left w:val="single" w:color="auto" w:sz="4" w:space="0"/>
              <w:bottom w:val="single" w:color="auto" w:sz="4" w:space="0"/>
              <w:right w:val="single" w:color="auto" w:sz="4" w:space="0"/>
            </w:tcBorders>
            <w:shd w:val="clear" w:color="auto" w:fill="EBF1DE" w:themeFill="accent3" w:themeFillTint="32"/>
            <w:noWrap/>
          </w:tcPr>
          <w:p>
            <w:pPr>
              <w:spacing w:after="0" w:line="240" w:lineRule="auto"/>
              <w:jc w:val="center"/>
              <w:rPr>
                <w:rFonts w:hint="default" w:ascii="Tahoma" w:hAnsi="Tahoma" w:eastAsia="Times New Roman" w:cs="Tahoma"/>
                <w:color w:val="000000"/>
                <w:sz w:val="22"/>
                <w:szCs w:val="22"/>
              </w:rPr>
            </w:pPr>
            <w:r>
              <w:rPr>
                <w:rFonts w:hint="default" w:ascii="Tahoma" w:hAnsi="Tahoma" w:eastAsia="Times New Roman" w:cs="Tahoma"/>
                <w:color w:val="000000"/>
                <w:sz w:val="22"/>
                <w:szCs w:val="22"/>
              </w:rPr>
              <w:t>3</w:t>
            </w:r>
          </w:p>
        </w:tc>
        <w:tc>
          <w:tcPr>
            <w:tcW w:w="3108" w:type="dxa"/>
            <w:tcBorders>
              <w:top w:val="nil"/>
              <w:left w:val="nil"/>
              <w:bottom w:val="single" w:color="auto" w:sz="4" w:space="0"/>
              <w:right w:val="single" w:color="auto" w:sz="4" w:space="0"/>
            </w:tcBorders>
            <w:shd w:val="clear" w:color="auto" w:fill="EBF1DE" w:themeFill="accent3" w:themeFillTint="32"/>
          </w:tcPr>
          <w:p>
            <w:pPr>
              <w:spacing w:after="0" w:line="240" w:lineRule="auto"/>
              <w:rPr>
                <w:rFonts w:hint="default" w:ascii="Tahoma" w:hAnsi="Tahoma" w:eastAsia="Times New Roman" w:cs="Tahoma"/>
                <w:color w:val="000000" w:themeColor="text1"/>
                <w:sz w:val="22"/>
                <w:szCs w:val="22"/>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Program Peningkatan Disiplin Aparatur</w:t>
            </w:r>
          </w:p>
        </w:tc>
        <w:tc>
          <w:tcPr>
            <w:tcW w:w="2170" w:type="dxa"/>
            <w:tcBorders>
              <w:top w:val="nil"/>
              <w:left w:val="nil"/>
              <w:bottom w:val="single" w:color="auto" w:sz="4" w:space="0"/>
              <w:right w:val="single" w:color="auto" w:sz="4" w:space="0"/>
            </w:tcBorders>
            <w:shd w:val="clear" w:color="auto" w:fill="EBF1DE" w:themeFill="accent3" w:themeFillTint="32"/>
          </w:tcPr>
          <w:p>
            <w:pPr>
              <w:spacing w:after="0" w:line="240" w:lineRule="auto"/>
              <w:jc w:val="right"/>
              <w:rPr>
                <w:rFonts w:hint="default" w:ascii="Tahoma" w:hAnsi="Tahoma" w:eastAsia="Times New Roman" w:cs="Tahoma"/>
                <w:color w:val="000000" w:themeColor="text1"/>
                <w:sz w:val="22"/>
                <w:szCs w:val="22"/>
                <w:lang w:val="id-ID"/>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194.250.000</w:t>
            </w:r>
            <w:r>
              <w:rPr>
                <w:rFonts w:hint="default" w:ascii="Tahoma" w:hAnsi="Tahoma" w:eastAsia="Times New Roman" w:cs="Tahoma"/>
                <w:color w:val="000000" w:themeColor="text1"/>
                <w:sz w:val="22"/>
                <w:szCs w:val="22"/>
                <w:lang w:val="id-ID"/>
                <w14:textFill>
                  <w14:solidFill>
                    <w14:schemeClr w14:val="tx1"/>
                  </w14:solidFill>
                </w14:textFill>
              </w:rPr>
              <w:t>,-</w:t>
            </w:r>
          </w:p>
        </w:tc>
        <w:tc>
          <w:tcPr>
            <w:tcW w:w="85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lang w:val="id-ID"/>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100</w:t>
            </w:r>
          </w:p>
        </w:tc>
        <w:tc>
          <w:tcPr>
            <w:tcW w:w="219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lang w:val="id-ID"/>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185.102.000</w:t>
            </w:r>
            <w:r>
              <w:rPr>
                <w:rFonts w:hint="default" w:ascii="Tahoma" w:hAnsi="Tahoma" w:eastAsia="Times New Roman" w:cs="Tahoma"/>
                <w:color w:val="000000" w:themeColor="text1"/>
                <w:sz w:val="22"/>
                <w:szCs w:val="22"/>
                <w:lang w:val="id-ID"/>
                <w14:textFill>
                  <w14:solidFill>
                    <w14:schemeClr w14:val="tx1"/>
                  </w14:solidFill>
                </w14:textFill>
              </w:rPr>
              <w:t>,-</w:t>
            </w:r>
          </w:p>
        </w:tc>
        <w:tc>
          <w:tcPr>
            <w:tcW w:w="85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95,29</w:t>
            </w:r>
          </w:p>
        </w:tc>
      </w:tr>
      <w:tr>
        <w:tblPrEx>
          <w:tblCellMar>
            <w:top w:w="0" w:type="dxa"/>
            <w:left w:w="108" w:type="dxa"/>
            <w:bottom w:w="0" w:type="dxa"/>
            <w:right w:w="108" w:type="dxa"/>
          </w:tblCellMar>
        </w:tblPrEx>
        <w:trPr>
          <w:trHeight w:val="585" w:hRule="atLeast"/>
        </w:trPr>
        <w:tc>
          <w:tcPr>
            <w:tcW w:w="558" w:type="dxa"/>
            <w:tcBorders>
              <w:top w:val="nil"/>
              <w:left w:val="single" w:color="auto" w:sz="4" w:space="0"/>
              <w:bottom w:val="single" w:color="auto" w:sz="4" w:space="0"/>
              <w:right w:val="single" w:color="auto" w:sz="4" w:space="0"/>
            </w:tcBorders>
            <w:shd w:val="clear" w:color="auto" w:fill="EBF1DE" w:themeFill="accent3" w:themeFillTint="32"/>
            <w:noWrap/>
          </w:tcPr>
          <w:p>
            <w:pPr>
              <w:spacing w:after="0" w:line="240" w:lineRule="auto"/>
              <w:jc w:val="center"/>
              <w:rPr>
                <w:rFonts w:hint="default" w:ascii="Tahoma" w:hAnsi="Tahoma" w:eastAsia="Times New Roman" w:cs="Tahoma"/>
                <w:color w:val="000000"/>
                <w:sz w:val="22"/>
                <w:szCs w:val="22"/>
              </w:rPr>
            </w:pPr>
            <w:r>
              <w:rPr>
                <w:rFonts w:hint="default" w:ascii="Tahoma" w:hAnsi="Tahoma" w:eastAsia="Times New Roman" w:cs="Tahoma"/>
                <w:color w:val="000000"/>
                <w:sz w:val="22"/>
                <w:szCs w:val="22"/>
              </w:rPr>
              <w:t>4</w:t>
            </w:r>
          </w:p>
        </w:tc>
        <w:tc>
          <w:tcPr>
            <w:tcW w:w="3108" w:type="dxa"/>
            <w:tcBorders>
              <w:top w:val="nil"/>
              <w:left w:val="nil"/>
              <w:bottom w:val="single" w:color="auto" w:sz="4" w:space="0"/>
              <w:right w:val="single" w:color="auto" w:sz="4" w:space="0"/>
            </w:tcBorders>
            <w:shd w:val="clear" w:color="auto" w:fill="EBF1DE" w:themeFill="accent3" w:themeFillTint="32"/>
          </w:tcPr>
          <w:p>
            <w:pPr>
              <w:spacing w:after="0" w:line="240" w:lineRule="auto"/>
              <w:rPr>
                <w:rFonts w:hint="default" w:ascii="Tahoma" w:hAnsi="Tahoma" w:eastAsia="Times New Roman" w:cs="Tahoma"/>
                <w:sz w:val="22"/>
                <w:szCs w:val="22"/>
              </w:rPr>
            </w:pPr>
            <w:r>
              <w:rPr>
                <w:rFonts w:hint="default" w:ascii="Tahoma" w:hAnsi="Tahoma" w:eastAsia="Times New Roman" w:cs="Tahoma"/>
                <w:sz w:val="22"/>
                <w:szCs w:val="22"/>
              </w:rPr>
              <w:t>Program Peningkatan Kapasitas Sumber Daya Aparatur</w:t>
            </w:r>
          </w:p>
        </w:tc>
        <w:tc>
          <w:tcPr>
            <w:tcW w:w="2170" w:type="dxa"/>
            <w:tcBorders>
              <w:top w:val="nil"/>
              <w:left w:val="nil"/>
              <w:bottom w:val="single" w:color="auto" w:sz="4" w:space="0"/>
              <w:right w:val="single" w:color="auto" w:sz="4" w:space="0"/>
            </w:tcBorders>
            <w:shd w:val="clear" w:color="auto" w:fill="EBF1DE" w:themeFill="accent3" w:themeFillTint="32"/>
          </w:tcPr>
          <w:p>
            <w:pPr>
              <w:spacing w:after="0" w:line="240" w:lineRule="auto"/>
              <w:jc w:val="right"/>
              <w:rPr>
                <w:rFonts w:hint="default" w:ascii="Tahoma" w:hAnsi="Tahoma" w:eastAsia="Times New Roman" w:cs="Tahoma"/>
                <w:sz w:val="22"/>
                <w:szCs w:val="22"/>
                <w:lang w:val="id-ID"/>
              </w:rPr>
            </w:pPr>
            <w:r>
              <w:rPr>
                <w:rFonts w:hint="default" w:ascii="Tahoma" w:hAnsi="Tahoma" w:eastAsia="Times New Roman" w:cs="Tahoma"/>
                <w:sz w:val="22"/>
                <w:szCs w:val="22"/>
              </w:rPr>
              <w:t>0</w:t>
            </w:r>
          </w:p>
        </w:tc>
        <w:tc>
          <w:tcPr>
            <w:tcW w:w="85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lang w:val="id-ID"/>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100</w:t>
            </w:r>
          </w:p>
        </w:tc>
        <w:tc>
          <w:tcPr>
            <w:tcW w:w="219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0</w:t>
            </w:r>
          </w:p>
        </w:tc>
        <w:tc>
          <w:tcPr>
            <w:tcW w:w="85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0</w:t>
            </w:r>
          </w:p>
        </w:tc>
      </w:tr>
      <w:tr>
        <w:tblPrEx>
          <w:tblCellMar>
            <w:top w:w="0" w:type="dxa"/>
            <w:left w:w="108" w:type="dxa"/>
            <w:bottom w:w="0" w:type="dxa"/>
            <w:right w:w="108" w:type="dxa"/>
          </w:tblCellMar>
        </w:tblPrEx>
        <w:trPr>
          <w:trHeight w:val="810" w:hRule="atLeast"/>
        </w:trPr>
        <w:tc>
          <w:tcPr>
            <w:tcW w:w="558" w:type="dxa"/>
            <w:tcBorders>
              <w:top w:val="nil"/>
              <w:left w:val="single" w:color="auto" w:sz="4" w:space="0"/>
              <w:bottom w:val="single" w:color="auto" w:sz="4" w:space="0"/>
              <w:right w:val="single" w:color="auto" w:sz="4" w:space="0"/>
            </w:tcBorders>
            <w:shd w:val="clear" w:color="auto" w:fill="EBF1DE" w:themeFill="accent3" w:themeFillTint="32"/>
            <w:noWrap/>
          </w:tcPr>
          <w:p>
            <w:pPr>
              <w:spacing w:after="0" w:line="240" w:lineRule="auto"/>
              <w:jc w:val="center"/>
              <w:rPr>
                <w:rFonts w:hint="default" w:ascii="Tahoma" w:hAnsi="Tahoma" w:eastAsia="Times New Roman" w:cs="Tahoma"/>
                <w:color w:val="000000"/>
                <w:sz w:val="22"/>
                <w:szCs w:val="22"/>
              </w:rPr>
            </w:pPr>
            <w:r>
              <w:rPr>
                <w:rFonts w:hint="default" w:ascii="Tahoma" w:hAnsi="Tahoma" w:eastAsia="Times New Roman" w:cs="Tahoma"/>
                <w:color w:val="000000"/>
                <w:sz w:val="22"/>
                <w:szCs w:val="22"/>
              </w:rPr>
              <w:t>5</w:t>
            </w:r>
          </w:p>
        </w:tc>
        <w:tc>
          <w:tcPr>
            <w:tcW w:w="3108" w:type="dxa"/>
            <w:tcBorders>
              <w:top w:val="nil"/>
              <w:left w:val="nil"/>
              <w:bottom w:val="single" w:color="auto" w:sz="4" w:space="0"/>
              <w:right w:val="single" w:color="auto" w:sz="4" w:space="0"/>
            </w:tcBorders>
            <w:shd w:val="clear" w:color="auto" w:fill="EBF1DE" w:themeFill="accent3" w:themeFillTint="32"/>
          </w:tcPr>
          <w:p>
            <w:pPr>
              <w:spacing w:after="0" w:line="240" w:lineRule="auto"/>
              <w:rPr>
                <w:rFonts w:hint="default" w:ascii="Tahoma" w:hAnsi="Tahoma" w:eastAsia="Times New Roman" w:cs="Tahoma"/>
                <w:sz w:val="22"/>
                <w:szCs w:val="22"/>
              </w:rPr>
            </w:pPr>
            <w:r>
              <w:rPr>
                <w:rFonts w:hint="default" w:ascii="Tahoma" w:hAnsi="Tahoma" w:eastAsia="Times New Roman" w:cs="Tahoma"/>
                <w:sz w:val="22"/>
                <w:szCs w:val="22"/>
              </w:rPr>
              <w:t>Program Peningkatan Pengembangan Sistem Pelaporan Capaian Kinerja dan Keuangan</w:t>
            </w:r>
          </w:p>
        </w:tc>
        <w:tc>
          <w:tcPr>
            <w:tcW w:w="2170" w:type="dxa"/>
            <w:tcBorders>
              <w:top w:val="nil"/>
              <w:left w:val="nil"/>
              <w:bottom w:val="single" w:color="auto" w:sz="4" w:space="0"/>
              <w:right w:val="single" w:color="auto" w:sz="4" w:space="0"/>
            </w:tcBorders>
            <w:shd w:val="clear" w:color="auto" w:fill="EBF1DE" w:themeFill="accent3" w:themeFillTint="32"/>
          </w:tcPr>
          <w:p>
            <w:pPr>
              <w:spacing w:after="0" w:line="240" w:lineRule="auto"/>
              <w:jc w:val="right"/>
              <w:rPr>
                <w:rFonts w:hint="default" w:ascii="Tahoma" w:hAnsi="Tahoma" w:eastAsia="Times New Roman" w:cs="Tahoma"/>
                <w:sz w:val="22"/>
                <w:szCs w:val="22"/>
              </w:rPr>
            </w:pPr>
            <w:r>
              <w:rPr>
                <w:rFonts w:hint="default" w:ascii="Tahoma" w:hAnsi="Tahoma" w:eastAsia="Times New Roman" w:cs="Tahoma"/>
                <w:sz w:val="22"/>
                <w:szCs w:val="22"/>
              </w:rPr>
              <w:t>1.628.275.680,-</w:t>
            </w:r>
          </w:p>
        </w:tc>
        <w:tc>
          <w:tcPr>
            <w:tcW w:w="85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lang w:val="id-ID"/>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100</w:t>
            </w:r>
          </w:p>
        </w:tc>
        <w:tc>
          <w:tcPr>
            <w:tcW w:w="219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lang w:val="id-ID"/>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1.537.393.057</w:t>
            </w:r>
            <w:r>
              <w:rPr>
                <w:rFonts w:hint="default" w:ascii="Tahoma" w:hAnsi="Tahoma" w:eastAsia="Times New Roman" w:cs="Tahoma"/>
                <w:color w:val="000000" w:themeColor="text1"/>
                <w:sz w:val="22"/>
                <w:szCs w:val="22"/>
                <w:lang w:val="id-ID"/>
                <w14:textFill>
                  <w14:solidFill>
                    <w14:schemeClr w14:val="tx1"/>
                  </w14:solidFill>
                </w14:textFill>
              </w:rPr>
              <w:t>,-</w:t>
            </w:r>
          </w:p>
        </w:tc>
        <w:tc>
          <w:tcPr>
            <w:tcW w:w="85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94,42</w:t>
            </w:r>
          </w:p>
        </w:tc>
      </w:tr>
      <w:tr>
        <w:tblPrEx>
          <w:tblCellMar>
            <w:top w:w="0" w:type="dxa"/>
            <w:left w:w="108" w:type="dxa"/>
            <w:bottom w:w="0" w:type="dxa"/>
            <w:right w:w="108" w:type="dxa"/>
          </w:tblCellMar>
        </w:tblPrEx>
        <w:trPr>
          <w:trHeight w:val="255" w:hRule="atLeast"/>
        </w:trPr>
        <w:tc>
          <w:tcPr>
            <w:tcW w:w="558" w:type="dxa"/>
            <w:tcBorders>
              <w:top w:val="nil"/>
              <w:left w:val="single" w:color="auto" w:sz="4" w:space="0"/>
              <w:bottom w:val="single" w:color="auto" w:sz="4" w:space="0"/>
              <w:right w:val="single" w:color="auto" w:sz="4" w:space="0"/>
            </w:tcBorders>
            <w:shd w:val="clear" w:color="auto" w:fill="FEF3EB"/>
            <w:noWrap/>
          </w:tcPr>
          <w:p>
            <w:pPr>
              <w:spacing w:after="0" w:line="240" w:lineRule="auto"/>
              <w:jc w:val="center"/>
              <w:rPr>
                <w:rFonts w:hint="default" w:ascii="Tahoma" w:hAnsi="Tahoma" w:eastAsia="Times New Roman" w:cs="Tahoma"/>
                <w:color w:val="000000"/>
                <w:sz w:val="22"/>
                <w:szCs w:val="22"/>
              </w:rPr>
            </w:pPr>
          </w:p>
        </w:tc>
        <w:tc>
          <w:tcPr>
            <w:tcW w:w="3108" w:type="dxa"/>
            <w:tcBorders>
              <w:top w:val="nil"/>
              <w:left w:val="nil"/>
              <w:bottom w:val="single" w:color="auto" w:sz="4" w:space="0"/>
              <w:right w:val="single" w:color="auto" w:sz="4" w:space="0"/>
            </w:tcBorders>
            <w:shd w:val="clear" w:color="auto" w:fill="FEF3EB"/>
            <w:noWrap/>
          </w:tcPr>
          <w:p>
            <w:pPr>
              <w:spacing w:after="0" w:line="240" w:lineRule="auto"/>
              <w:rPr>
                <w:rFonts w:hint="default" w:ascii="Tahoma" w:hAnsi="Tahoma" w:eastAsia="Times New Roman" w:cs="Tahoma"/>
                <w:b/>
                <w:bCs/>
                <w:color w:val="000000"/>
                <w:sz w:val="22"/>
                <w:szCs w:val="22"/>
              </w:rPr>
            </w:pPr>
            <w:r>
              <w:rPr>
                <w:rFonts w:hint="default" w:ascii="Tahoma" w:hAnsi="Tahoma" w:eastAsia="Times New Roman" w:cs="Tahoma"/>
                <w:b/>
                <w:bCs/>
                <w:color w:val="000000"/>
                <w:sz w:val="22"/>
                <w:szCs w:val="22"/>
              </w:rPr>
              <w:t>BELANJA LANGSUNG URUSAN</w:t>
            </w:r>
          </w:p>
        </w:tc>
        <w:tc>
          <w:tcPr>
            <w:tcW w:w="2170" w:type="dxa"/>
            <w:tcBorders>
              <w:top w:val="nil"/>
              <w:left w:val="nil"/>
              <w:bottom w:val="single" w:color="auto" w:sz="4" w:space="0"/>
              <w:right w:val="single" w:color="auto" w:sz="4" w:space="0"/>
            </w:tcBorders>
            <w:shd w:val="clear" w:color="auto" w:fill="FEF3EB"/>
            <w:noWrap/>
          </w:tcPr>
          <w:p>
            <w:pPr>
              <w:spacing w:after="0" w:line="240" w:lineRule="auto"/>
              <w:jc w:val="right"/>
              <w:rPr>
                <w:rFonts w:hint="default" w:ascii="Tahoma" w:hAnsi="Tahoma" w:eastAsia="Times New Roman" w:cs="Tahoma"/>
                <w:b/>
                <w:bCs/>
                <w:color w:val="000000"/>
                <w:sz w:val="22"/>
                <w:szCs w:val="22"/>
              </w:rPr>
            </w:pPr>
            <w:r>
              <w:rPr>
                <w:rFonts w:hint="default" w:ascii="Tahoma" w:hAnsi="Tahoma" w:eastAsia="Times New Roman" w:cs="Tahoma"/>
                <w:b/>
                <w:bCs/>
                <w:color w:val="000000"/>
                <w:sz w:val="22"/>
                <w:szCs w:val="22"/>
              </w:rPr>
              <w:t>12.385.290.751,-</w:t>
            </w:r>
          </w:p>
        </w:tc>
        <w:tc>
          <w:tcPr>
            <w:tcW w:w="850" w:type="dxa"/>
            <w:tcBorders>
              <w:top w:val="nil"/>
              <w:left w:val="nil"/>
              <w:bottom w:val="single" w:color="auto" w:sz="4" w:space="0"/>
              <w:right w:val="single" w:color="auto" w:sz="4" w:space="0"/>
            </w:tcBorders>
            <w:shd w:val="clear" w:color="auto" w:fill="FEF3EB"/>
            <w:noWrap/>
          </w:tcPr>
          <w:p>
            <w:pPr>
              <w:spacing w:after="0" w:line="240" w:lineRule="auto"/>
              <w:jc w:val="right"/>
              <w:rPr>
                <w:rFonts w:hint="default" w:ascii="Tahoma" w:hAnsi="Tahoma" w:eastAsia="Times New Roman" w:cs="Tahoma"/>
                <w:b/>
                <w:bCs/>
                <w:color w:val="000000" w:themeColor="text1"/>
                <w:sz w:val="22"/>
                <w:szCs w:val="22"/>
                <w:lang w:val="id-ID"/>
                <w14:textFill>
                  <w14:solidFill>
                    <w14:schemeClr w14:val="tx1"/>
                  </w14:solidFill>
                </w14:textFill>
              </w:rPr>
            </w:pPr>
          </w:p>
        </w:tc>
        <w:tc>
          <w:tcPr>
            <w:tcW w:w="2190" w:type="dxa"/>
            <w:tcBorders>
              <w:top w:val="nil"/>
              <w:left w:val="nil"/>
              <w:bottom w:val="single" w:color="auto" w:sz="4" w:space="0"/>
              <w:right w:val="single" w:color="auto" w:sz="4" w:space="0"/>
            </w:tcBorders>
            <w:shd w:val="clear" w:color="auto" w:fill="FEF3EB"/>
            <w:noWrap/>
          </w:tcPr>
          <w:p>
            <w:pPr>
              <w:spacing w:after="0" w:line="240" w:lineRule="auto"/>
              <w:jc w:val="right"/>
              <w:rPr>
                <w:rFonts w:hint="default" w:ascii="Tahoma" w:hAnsi="Tahoma" w:eastAsia="Times New Roman" w:cs="Tahoma"/>
                <w:b/>
                <w:bCs/>
                <w:color w:val="000000" w:themeColor="text1"/>
                <w:sz w:val="22"/>
                <w:szCs w:val="22"/>
                <w14:textFill>
                  <w14:solidFill>
                    <w14:schemeClr w14:val="tx1"/>
                  </w14:solidFill>
                </w14:textFill>
              </w:rPr>
            </w:pPr>
            <w:r>
              <w:rPr>
                <w:rFonts w:hint="default" w:ascii="Tahoma" w:hAnsi="Tahoma" w:eastAsia="Times New Roman" w:cs="Tahoma"/>
                <w:b/>
                <w:bCs/>
                <w:color w:val="000000" w:themeColor="text1"/>
                <w:sz w:val="22"/>
                <w:szCs w:val="22"/>
                <w14:textFill>
                  <w14:solidFill>
                    <w14:schemeClr w14:val="tx1"/>
                  </w14:solidFill>
                </w14:textFill>
              </w:rPr>
              <w:t>11.205.864.243,-</w:t>
            </w:r>
          </w:p>
        </w:tc>
        <w:tc>
          <w:tcPr>
            <w:tcW w:w="850" w:type="dxa"/>
            <w:tcBorders>
              <w:top w:val="nil"/>
              <w:left w:val="nil"/>
              <w:bottom w:val="single" w:color="auto" w:sz="4" w:space="0"/>
              <w:right w:val="single" w:color="auto" w:sz="4" w:space="0"/>
            </w:tcBorders>
            <w:shd w:val="clear" w:color="auto" w:fill="FEF3EB"/>
            <w:noWrap/>
          </w:tcPr>
          <w:p>
            <w:pPr>
              <w:spacing w:after="0" w:line="240" w:lineRule="auto"/>
              <w:jc w:val="right"/>
              <w:rPr>
                <w:rFonts w:hint="default" w:ascii="Tahoma" w:hAnsi="Tahoma" w:eastAsia="Times New Roman" w:cs="Tahoma"/>
                <w:b/>
                <w:bCs/>
                <w:color w:val="000000" w:themeColor="text1"/>
                <w:sz w:val="22"/>
                <w:szCs w:val="22"/>
                <w14:textFill>
                  <w14:solidFill>
                    <w14:schemeClr w14:val="tx1"/>
                  </w14:solidFill>
                </w14:textFill>
              </w:rPr>
            </w:pPr>
            <w:r>
              <w:rPr>
                <w:rFonts w:hint="default" w:ascii="Tahoma" w:hAnsi="Tahoma" w:eastAsia="Times New Roman" w:cs="Tahoma"/>
                <w:b/>
                <w:bCs/>
                <w:color w:val="000000" w:themeColor="text1"/>
                <w:sz w:val="22"/>
                <w:szCs w:val="22"/>
                <w14:textFill>
                  <w14:solidFill>
                    <w14:schemeClr w14:val="tx1"/>
                  </w14:solidFill>
                </w14:textFill>
              </w:rPr>
              <w:t>90,48</w:t>
            </w:r>
          </w:p>
        </w:tc>
      </w:tr>
      <w:tr>
        <w:tblPrEx>
          <w:tblCellMar>
            <w:top w:w="0" w:type="dxa"/>
            <w:left w:w="108" w:type="dxa"/>
            <w:bottom w:w="0" w:type="dxa"/>
            <w:right w:w="108" w:type="dxa"/>
          </w:tblCellMar>
        </w:tblPrEx>
        <w:trPr>
          <w:trHeight w:val="510" w:hRule="atLeast"/>
        </w:trPr>
        <w:tc>
          <w:tcPr>
            <w:tcW w:w="558" w:type="dxa"/>
            <w:tcBorders>
              <w:top w:val="nil"/>
              <w:left w:val="single" w:color="auto" w:sz="4" w:space="0"/>
              <w:bottom w:val="single" w:color="auto" w:sz="4" w:space="0"/>
              <w:right w:val="single" w:color="auto" w:sz="4" w:space="0"/>
            </w:tcBorders>
            <w:shd w:val="clear" w:color="auto" w:fill="EBF1DE" w:themeFill="accent3" w:themeFillTint="32"/>
            <w:noWrap/>
          </w:tcPr>
          <w:p>
            <w:pPr>
              <w:spacing w:after="0" w:line="240" w:lineRule="auto"/>
              <w:jc w:val="center"/>
              <w:rPr>
                <w:rFonts w:hint="default" w:ascii="Tahoma" w:hAnsi="Tahoma" w:eastAsia="Times New Roman" w:cs="Tahoma"/>
                <w:color w:val="000000"/>
                <w:sz w:val="22"/>
                <w:szCs w:val="22"/>
              </w:rPr>
            </w:pPr>
            <w:r>
              <w:rPr>
                <w:rFonts w:hint="default" w:ascii="Tahoma" w:hAnsi="Tahoma" w:eastAsia="Times New Roman" w:cs="Tahoma"/>
                <w:color w:val="000000"/>
                <w:sz w:val="22"/>
                <w:szCs w:val="22"/>
              </w:rPr>
              <w:t>1</w:t>
            </w:r>
          </w:p>
        </w:tc>
        <w:tc>
          <w:tcPr>
            <w:tcW w:w="3108" w:type="dxa"/>
            <w:tcBorders>
              <w:top w:val="nil"/>
              <w:left w:val="nil"/>
              <w:bottom w:val="single" w:color="auto" w:sz="4" w:space="0"/>
              <w:right w:val="single" w:color="auto" w:sz="4" w:space="0"/>
            </w:tcBorders>
            <w:shd w:val="clear" w:color="auto" w:fill="EBF1DE" w:themeFill="accent3" w:themeFillTint="32"/>
          </w:tcPr>
          <w:p>
            <w:pPr>
              <w:spacing w:after="0" w:line="240" w:lineRule="auto"/>
              <w:rPr>
                <w:rFonts w:hint="default" w:ascii="Tahoma" w:hAnsi="Tahoma" w:eastAsia="Times New Roman" w:cs="Tahoma"/>
                <w:color w:val="000000"/>
                <w:sz w:val="22"/>
                <w:szCs w:val="22"/>
              </w:rPr>
            </w:pPr>
            <w:r>
              <w:rPr>
                <w:rFonts w:hint="default" w:ascii="Tahoma" w:hAnsi="Tahoma" w:eastAsia="Times New Roman" w:cs="Tahoma"/>
                <w:color w:val="000000"/>
                <w:sz w:val="22"/>
                <w:szCs w:val="22"/>
              </w:rPr>
              <w:t>Program Peningkatan Pendapatan Daerah</w:t>
            </w:r>
          </w:p>
        </w:tc>
        <w:tc>
          <w:tcPr>
            <w:tcW w:w="217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sz w:val="22"/>
                <w:szCs w:val="22"/>
                <w:lang w:val="id-ID"/>
              </w:rPr>
            </w:pPr>
            <w:r>
              <w:rPr>
                <w:rFonts w:hint="default" w:ascii="Tahoma" w:hAnsi="Tahoma" w:eastAsia="Times New Roman" w:cs="Tahoma"/>
                <w:color w:val="000000"/>
                <w:sz w:val="22"/>
                <w:szCs w:val="22"/>
              </w:rPr>
              <w:t>5.591.976.645</w:t>
            </w:r>
            <w:r>
              <w:rPr>
                <w:rFonts w:hint="default" w:ascii="Tahoma" w:hAnsi="Tahoma" w:eastAsia="Times New Roman" w:cs="Tahoma"/>
                <w:color w:val="000000"/>
                <w:sz w:val="22"/>
                <w:szCs w:val="22"/>
                <w:lang w:val="id-ID"/>
              </w:rPr>
              <w:t>,-</w:t>
            </w:r>
          </w:p>
        </w:tc>
        <w:tc>
          <w:tcPr>
            <w:tcW w:w="85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lang w:val="id-ID"/>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100</w:t>
            </w:r>
          </w:p>
        </w:tc>
        <w:tc>
          <w:tcPr>
            <w:tcW w:w="219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lang w:val="id-ID"/>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5.002.235.788</w:t>
            </w:r>
            <w:r>
              <w:rPr>
                <w:rFonts w:hint="default" w:ascii="Tahoma" w:hAnsi="Tahoma" w:eastAsia="Times New Roman" w:cs="Tahoma"/>
                <w:color w:val="000000" w:themeColor="text1"/>
                <w:sz w:val="22"/>
                <w:szCs w:val="22"/>
                <w:lang w:val="id-ID"/>
                <w14:textFill>
                  <w14:solidFill>
                    <w14:schemeClr w14:val="tx1"/>
                  </w14:solidFill>
                </w14:textFill>
              </w:rPr>
              <w:t>,-</w:t>
            </w:r>
          </w:p>
        </w:tc>
        <w:tc>
          <w:tcPr>
            <w:tcW w:w="85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89,45</w:t>
            </w:r>
          </w:p>
        </w:tc>
      </w:tr>
      <w:tr>
        <w:tblPrEx>
          <w:tblCellMar>
            <w:top w:w="0" w:type="dxa"/>
            <w:left w:w="108" w:type="dxa"/>
            <w:bottom w:w="0" w:type="dxa"/>
            <w:right w:w="108" w:type="dxa"/>
          </w:tblCellMar>
        </w:tblPrEx>
        <w:trPr>
          <w:trHeight w:val="510" w:hRule="atLeast"/>
        </w:trPr>
        <w:tc>
          <w:tcPr>
            <w:tcW w:w="558" w:type="dxa"/>
            <w:tcBorders>
              <w:top w:val="nil"/>
              <w:left w:val="single" w:color="auto" w:sz="4" w:space="0"/>
              <w:bottom w:val="single" w:color="auto" w:sz="4" w:space="0"/>
              <w:right w:val="single" w:color="auto" w:sz="4" w:space="0"/>
            </w:tcBorders>
            <w:shd w:val="clear" w:color="auto" w:fill="EBF1DE" w:themeFill="accent3" w:themeFillTint="32"/>
            <w:noWrap/>
          </w:tcPr>
          <w:p>
            <w:pPr>
              <w:spacing w:after="0" w:line="240" w:lineRule="auto"/>
              <w:jc w:val="center"/>
              <w:rPr>
                <w:rFonts w:hint="default" w:ascii="Tahoma" w:hAnsi="Tahoma" w:eastAsia="Times New Roman" w:cs="Tahoma"/>
                <w:color w:val="000000"/>
                <w:sz w:val="22"/>
                <w:szCs w:val="22"/>
              </w:rPr>
            </w:pPr>
            <w:r>
              <w:rPr>
                <w:rFonts w:hint="default" w:ascii="Tahoma" w:hAnsi="Tahoma" w:eastAsia="Times New Roman" w:cs="Tahoma"/>
                <w:color w:val="000000"/>
                <w:sz w:val="22"/>
                <w:szCs w:val="22"/>
              </w:rPr>
              <w:t>2</w:t>
            </w:r>
          </w:p>
        </w:tc>
        <w:tc>
          <w:tcPr>
            <w:tcW w:w="3108" w:type="dxa"/>
            <w:tcBorders>
              <w:top w:val="nil"/>
              <w:left w:val="nil"/>
              <w:bottom w:val="single" w:color="auto" w:sz="4" w:space="0"/>
              <w:right w:val="single" w:color="auto" w:sz="4" w:space="0"/>
            </w:tcBorders>
            <w:shd w:val="clear" w:color="auto" w:fill="EBF1DE" w:themeFill="accent3" w:themeFillTint="32"/>
          </w:tcPr>
          <w:p>
            <w:pPr>
              <w:spacing w:after="0" w:line="240" w:lineRule="auto"/>
              <w:rPr>
                <w:rFonts w:hint="default" w:ascii="Tahoma" w:hAnsi="Tahoma" w:eastAsia="Times New Roman" w:cs="Tahoma"/>
                <w:color w:val="000000"/>
                <w:sz w:val="22"/>
                <w:szCs w:val="22"/>
              </w:rPr>
            </w:pPr>
            <w:r>
              <w:rPr>
                <w:rFonts w:hint="default" w:ascii="Tahoma" w:hAnsi="Tahoma" w:eastAsia="Times New Roman" w:cs="Tahoma"/>
                <w:color w:val="000000"/>
                <w:sz w:val="22"/>
                <w:szCs w:val="22"/>
              </w:rPr>
              <w:t>Program Peningkatan Kualitas Pengelolaan Keuangan</w:t>
            </w:r>
          </w:p>
        </w:tc>
        <w:tc>
          <w:tcPr>
            <w:tcW w:w="217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sz w:val="22"/>
                <w:szCs w:val="22"/>
                <w:lang w:val="id-ID"/>
              </w:rPr>
            </w:pPr>
            <w:r>
              <w:rPr>
                <w:rFonts w:hint="default" w:ascii="Tahoma" w:hAnsi="Tahoma" w:eastAsia="Times New Roman" w:cs="Tahoma"/>
                <w:color w:val="000000"/>
                <w:sz w:val="22"/>
                <w:szCs w:val="22"/>
              </w:rPr>
              <w:t>5.135.895.691</w:t>
            </w:r>
            <w:r>
              <w:rPr>
                <w:rFonts w:hint="default" w:ascii="Tahoma" w:hAnsi="Tahoma" w:eastAsia="Times New Roman" w:cs="Tahoma"/>
                <w:color w:val="000000"/>
                <w:sz w:val="22"/>
                <w:szCs w:val="22"/>
                <w:lang w:val="id-ID"/>
              </w:rPr>
              <w:t>,-</w:t>
            </w:r>
          </w:p>
        </w:tc>
        <w:tc>
          <w:tcPr>
            <w:tcW w:w="85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lang w:val="id-ID"/>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100</w:t>
            </w:r>
          </w:p>
        </w:tc>
        <w:tc>
          <w:tcPr>
            <w:tcW w:w="219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lang w:val="id-ID"/>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4.662.443.220</w:t>
            </w:r>
            <w:r>
              <w:rPr>
                <w:rFonts w:hint="default" w:ascii="Tahoma" w:hAnsi="Tahoma" w:eastAsia="Times New Roman" w:cs="Tahoma"/>
                <w:color w:val="000000" w:themeColor="text1"/>
                <w:sz w:val="22"/>
                <w:szCs w:val="22"/>
                <w:lang w:val="id-ID"/>
                <w14:textFill>
                  <w14:solidFill>
                    <w14:schemeClr w14:val="tx1"/>
                  </w14:solidFill>
                </w14:textFill>
              </w:rPr>
              <w:t>,-</w:t>
            </w:r>
          </w:p>
        </w:tc>
        <w:tc>
          <w:tcPr>
            <w:tcW w:w="85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90,48</w:t>
            </w:r>
          </w:p>
        </w:tc>
      </w:tr>
      <w:tr>
        <w:tblPrEx>
          <w:tblCellMar>
            <w:top w:w="0" w:type="dxa"/>
            <w:left w:w="108" w:type="dxa"/>
            <w:bottom w:w="0" w:type="dxa"/>
            <w:right w:w="108" w:type="dxa"/>
          </w:tblCellMar>
        </w:tblPrEx>
        <w:trPr>
          <w:trHeight w:val="482" w:hRule="atLeast"/>
        </w:trPr>
        <w:tc>
          <w:tcPr>
            <w:tcW w:w="558" w:type="dxa"/>
            <w:tcBorders>
              <w:top w:val="single" w:color="auto" w:sz="4" w:space="0"/>
              <w:left w:val="single" w:color="auto" w:sz="4" w:space="0"/>
              <w:bottom w:val="single" w:color="auto" w:sz="4" w:space="0"/>
              <w:right w:val="single" w:color="auto" w:sz="4" w:space="0"/>
            </w:tcBorders>
            <w:shd w:val="clear" w:color="auto" w:fill="EBF1DE" w:themeFill="accent3" w:themeFillTint="32"/>
            <w:noWrap/>
          </w:tcPr>
          <w:p>
            <w:pPr>
              <w:spacing w:after="0" w:line="240" w:lineRule="auto"/>
              <w:jc w:val="center"/>
              <w:rPr>
                <w:rFonts w:hint="default" w:ascii="Tahoma" w:hAnsi="Tahoma" w:eastAsia="Times New Roman" w:cs="Tahoma"/>
                <w:color w:val="000000"/>
                <w:sz w:val="22"/>
                <w:szCs w:val="22"/>
              </w:rPr>
            </w:pPr>
            <w:r>
              <w:rPr>
                <w:rFonts w:hint="default" w:ascii="Tahoma" w:hAnsi="Tahoma" w:eastAsia="Times New Roman" w:cs="Tahoma"/>
                <w:color w:val="000000"/>
                <w:sz w:val="22"/>
                <w:szCs w:val="22"/>
              </w:rPr>
              <w:t>3</w:t>
            </w:r>
          </w:p>
        </w:tc>
        <w:tc>
          <w:tcPr>
            <w:tcW w:w="3108" w:type="dxa"/>
            <w:tcBorders>
              <w:top w:val="single" w:color="auto" w:sz="4" w:space="0"/>
              <w:left w:val="single" w:color="auto" w:sz="4" w:space="0"/>
              <w:bottom w:val="single" w:color="auto" w:sz="4" w:space="0"/>
              <w:right w:val="single" w:color="auto" w:sz="4" w:space="0"/>
            </w:tcBorders>
            <w:shd w:val="clear" w:color="auto" w:fill="EBF1DE" w:themeFill="accent3" w:themeFillTint="32"/>
          </w:tcPr>
          <w:p>
            <w:pPr>
              <w:spacing w:after="0" w:line="240" w:lineRule="auto"/>
              <w:rPr>
                <w:rFonts w:hint="default" w:ascii="Tahoma" w:hAnsi="Tahoma" w:eastAsia="Times New Roman" w:cs="Tahoma"/>
                <w:color w:val="000000"/>
                <w:sz w:val="22"/>
                <w:szCs w:val="22"/>
              </w:rPr>
            </w:pPr>
            <w:r>
              <w:rPr>
                <w:rFonts w:hint="default" w:ascii="Tahoma" w:hAnsi="Tahoma" w:eastAsia="Times New Roman" w:cs="Tahoma"/>
                <w:color w:val="000000"/>
                <w:sz w:val="22"/>
                <w:szCs w:val="22"/>
              </w:rPr>
              <w:t>Program Pembinaan dan Fasilitasi Pengelolaan Keuangan Kabupaten/Kota</w:t>
            </w:r>
          </w:p>
        </w:tc>
        <w:tc>
          <w:tcPr>
            <w:tcW w:w="217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sz w:val="22"/>
                <w:szCs w:val="22"/>
              </w:rPr>
            </w:pPr>
            <w:r>
              <w:rPr>
                <w:rFonts w:hint="default" w:ascii="Tahoma" w:hAnsi="Tahoma" w:eastAsia="Times New Roman" w:cs="Tahoma"/>
                <w:color w:val="000000"/>
                <w:sz w:val="22"/>
                <w:szCs w:val="22"/>
              </w:rPr>
              <w:t>417.237.815,-</w:t>
            </w:r>
          </w:p>
        </w:tc>
        <w:tc>
          <w:tcPr>
            <w:tcW w:w="85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lang w:val="id-ID"/>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100</w:t>
            </w:r>
          </w:p>
        </w:tc>
        <w:tc>
          <w:tcPr>
            <w:tcW w:w="219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lang w:val="id-ID"/>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401.414.518</w:t>
            </w:r>
            <w:r>
              <w:rPr>
                <w:rFonts w:hint="default" w:ascii="Tahoma" w:hAnsi="Tahoma" w:eastAsia="Times New Roman" w:cs="Tahoma"/>
                <w:color w:val="000000" w:themeColor="text1"/>
                <w:sz w:val="22"/>
                <w:szCs w:val="22"/>
                <w:lang w:val="id-ID"/>
                <w14:textFill>
                  <w14:solidFill>
                    <w14:schemeClr w14:val="tx1"/>
                  </w14:solidFill>
                </w14:textFill>
              </w:rPr>
              <w:t>,-</w:t>
            </w:r>
          </w:p>
        </w:tc>
        <w:tc>
          <w:tcPr>
            <w:tcW w:w="85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96,21</w:t>
            </w:r>
          </w:p>
        </w:tc>
      </w:tr>
      <w:tr>
        <w:tblPrEx>
          <w:tblCellMar>
            <w:top w:w="0" w:type="dxa"/>
            <w:left w:w="108" w:type="dxa"/>
            <w:bottom w:w="0" w:type="dxa"/>
            <w:right w:w="108" w:type="dxa"/>
          </w:tblCellMar>
        </w:tblPrEx>
        <w:trPr>
          <w:trHeight w:val="293" w:hRule="atLeast"/>
        </w:trPr>
        <w:tc>
          <w:tcPr>
            <w:tcW w:w="558" w:type="dxa"/>
            <w:tcBorders>
              <w:top w:val="single" w:color="auto" w:sz="4" w:space="0"/>
              <w:left w:val="single" w:color="auto" w:sz="4" w:space="0"/>
              <w:bottom w:val="nil"/>
              <w:right w:val="single" w:color="auto" w:sz="4" w:space="0"/>
            </w:tcBorders>
            <w:shd w:val="clear" w:color="auto" w:fill="EBF1DE" w:themeFill="accent3" w:themeFillTint="32"/>
            <w:noWrap/>
          </w:tcPr>
          <w:p>
            <w:pPr>
              <w:spacing w:after="0" w:line="240" w:lineRule="auto"/>
              <w:jc w:val="center"/>
              <w:rPr>
                <w:rFonts w:hint="default" w:ascii="Tahoma" w:hAnsi="Tahoma" w:eastAsia="Times New Roman" w:cs="Tahoma"/>
                <w:color w:val="000000"/>
                <w:sz w:val="22"/>
                <w:szCs w:val="22"/>
                <w:lang w:val="id-ID"/>
              </w:rPr>
            </w:pPr>
            <w:r>
              <w:rPr>
                <w:rFonts w:hint="default" w:ascii="Tahoma" w:hAnsi="Tahoma" w:eastAsia="Times New Roman" w:cs="Tahoma"/>
                <w:color w:val="000000"/>
                <w:sz w:val="22"/>
                <w:szCs w:val="22"/>
                <w:lang w:val="id-ID"/>
              </w:rPr>
              <w:t>4</w:t>
            </w:r>
          </w:p>
        </w:tc>
        <w:tc>
          <w:tcPr>
            <w:tcW w:w="3108" w:type="dxa"/>
            <w:tcBorders>
              <w:top w:val="single" w:color="auto" w:sz="4" w:space="0"/>
              <w:left w:val="nil"/>
              <w:bottom w:val="nil"/>
              <w:right w:val="single" w:color="auto" w:sz="4" w:space="0"/>
            </w:tcBorders>
            <w:shd w:val="clear" w:color="auto" w:fill="EBF1DE" w:themeFill="accent3" w:themeFillTint="32"/>
          </w:tcPr>
          <w:p>
            <w:pPr>
              <w:spacing w:after="0" w:line="240" w:lineRule="auto"/>
              <w:rPr>
                <w:rFonts w:hint="default" w:ascii="Tahoma" w:hAnsi="Tahoma" w:eastAsia="Times New Roman" w:cs="Tahoma"/>
                <w:color w:val="000000"/>
                <w:sz w:val="22"/>
                <w:szCs w:val="22"/>
                <w:lang w:val="id-ID"/>
              </w:rPr>
            </w:pPr>
            <w:r>
              <w:rPr>
                <w:rFonts w:hint="default" w:ascii="Tahoma" w:hAnsi="Tahoma" w:eastAsia="Times New Roman" w:cs="Tahoma"/>
                <w:color w:val="000000"/>
                <w:sz w:val="22"/>
                <w:szCs w:val="22"/>
                <w:lang w:val="id-ID"/>
              </w:rPr>
              <w:t>Program Peningkatan Pelayanan Publik</w:t>
            </w:r>
          </w:p>
        </w:tc>
        <w:tc>
          <w:tcPr>
            <w:tcW w:w="217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sz w:val="22"/>
                <w:szCs w:val="22"/>
                <w:lang w:val="id-ID"/>
              </w:rPr>
            </w:pPr>
            <w:r>
              <w:rPr>
                <w:rFonts w:hint="default" w:ascii="Tahoma" w:hAnsi="Tahoma" w:eastAsia="Times New Roman" w:cs="Tahoma"/>
                <w:color w:val="000000"/>
                <w:sz w:val="22"/>
                <w:szCs w:val="22"/>
              </w:rPr>
              <w:t>1.240.180.600</w:t>
            </w:r>
            <w:r>
              <w:rPr>
                <w:rFonts w:hint="default" w:ascii="Tahoma" w:hAnsi="Tahoma" w:eastAsia="Times New Roman" w:cs="Tahoma"/>
                <w:color w:val="000000"/>
                <w:sz w:val="22"/>
                <w:szCs w:val="22"/>
                <w:lang w:val="id-ID"/>
              </w:rPr>
              <w:t>,-</w:t>
            </w:r>
          </w:p>
        </w:tc>
        <w:tc>
          <w:tcPr>
            <w:tcW w:w="85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lang w:val="id-ID"/>
                <w14:textFill>
                  <w14:solidFill>
                    <w14:schemeClr w14:val="tx1"/>
                  </w14:solidFill>
                </w14:textFill>
              </w:rPr>
            </w:pPr>
            <w:r>
              <w:rPr>
                <w:rFonts w:hint="default" w:ascii="Tahoma" w:hAnsi="Tahoma" w:eastAsia="Times New Roman" w:cs="Tahoma"/>
                <w:color w:val="000000" w:themeColor="text1"/>
                <w:sz w:val="22"/>
                <w:szCs w:val="22"/>
                <w:lang w:val="id-ID"/>
                <w14:textFill>
                  <w14:solidFill>
                    <w14:schemeClr w14:val="tx1"/>
                  </w14:solidFill>
                </w14:textFill>
              </w:rPr>
              <w:t>100</w:t>
            </w:r>
          </w:p>
        </w:tc>
        <w:tc>
          <w:tcPr>
            <w:tcW w:w="219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lang w:val="id-ID"/>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1.139.770.717</w:t>
            </w:r>
            <w:r>
              <w:rPr>
                <w:rFonts w:hint="default" w:ascii="Tahoma" w:hAnsi="Tahoma" w:eastAsia="Times New Roman" w:cs="Tahoma"/>
                <w:color w:val="000000" w:themeColor="text1"/>
                <w:sz w:val="22"/>
                <w:szCs w:val="22"/>
                <w:lang w:val="id-ID"/>
                <w14:textFill>
                  <w14:solidFill>
                    <w14:schemeClr w14:val="tx1"/>
                  </w14:solidFill>
                </w14:textFill>
              </w:rPr>
              <w:t>,-</w:t>
            </w:r>
          </w:p>
        </w:tc>
        <w:tc>
          <w:tcPr>
            <w:tcW w:w="850" w:type="dxa"/>
            <w:tcBorders>
              <w:top w:val="nil"/>
              <w:left w:val="nil"/>
              <w:bottom w:val="single" w:color="auto" w:sz="4" w:space="0"/>
              <w:right w:val="single" w:color="auto" w:sz="4" w:space="0"/>
            </w:tcBorders>
            <w:shd w:val="clear" w:color="auto" w:fill="EBF1DE" w:themeFill="accent3" w:themeFillTint="32"/>
            <w:noWrap/>
          </w:tcPr>
          <w:p>
            <w:pPr>
              <w:spacing w:after="0" w:line="240" w:lineRule="auto"/>
              <w:jc w:val="right"/>
              <w:rPr>
                <w:rFonts w:hint="default" w:ascii="Tahoma" w:hAnsi="Tahoma" w:eastAsia="Times New Roman" w:cs="Tahoma"/>
                <w:color w:val="000000" w:themeColor="text1"/>
                <w:sz w:val="22"/>
                <w:szCs w:val="22"/>
                <w14:textFill>
                  <w14:solidFill>
                    <w14:schemeClr w14:val="tx1"/>
                  </w14:solidFill>
                </w14:textFill>
              </w:rPr>
            </w:pPr>
            <w:r>
              <w:rPr>
                <w:rFonts w:hint="default" w:ascii="Tahoma" w:hAnsi="Tahoma" w:eastAsia="Times New Roman" w:cs="Tahoma"/>
                <w:color w:val="000000" w:themeColor="text1"/>
                <w:sz w:val="22"/>
                <w:szCs w:val="22"/>
                <w14:textFill>
                  <w14:solidFill>
                    <w14:schemeClr w14:val="tx1"/>
                  </w14:solidFill>
                </w14:textFill>
              </w:rPr>
              <w:t>91,90</w:t>
            </w:r>
          </w:p>
        </w:tc>
      </w:tr>
      <w:tr>
        <w:tblPrEx>
          <w:tblCellMar>
            <w:top w:w="0" w:type="dxa"/>
            <w:left w:w="108" w:type="dxa"/>
            <w:bottom w:w="0" w:type="dxa"/>
            <w:right w:w="108" w:type="dxa"/>
          </w:tblCellMar>
        </w:tblPrEx>
        <w:trPr>
          <w:trHeight w:val="365" w:hRule="atLeast"/>
        </w:trPr>
        <w:tc>
          <w:tcPr>
            <w:tcW w:w="558" w:type="dxa"/>
            <w:tcBorders>
              <w:top w:val="single" w:color="auto" w:sz="4" w:space="0"/>
              <w:left w:val="single" w:color="auto" w:sz="4" w:space="0"/>
              <w:bottom w:val="single" w:color="auto" w:sz="4" w:space="0"/>
              <w:right w:val="single" w:color="auto" w:sz="4" w:space="0"/>
            </w:tcBorders>
            <w:shd w:val="clear" w:color="auto" w:fill="E6E0EC" w:themeFill="accent4" w:themeFillTint="32"/>
            <w:noWrap/>
          </w:tcPr>
          <w:p>
            <w:pPr>
              <w:spacing w:after="0" w:line="240" w:lineRule="auto"/>
              <w:jc w:val="center"/>
              <w:rPr>
                <w:rFonts w:hint="default" w:ascii="Tahoma" w:hAnsi="Tahoma" w:eastAsia="Times New Roman" w:cs="Tahoma"/>
                <w:color w:val="000000"/>
                <w:sz w:val="22"/>
                <w:szCs w:val="22"/>
              </w:rPr>
            </w:pPr>
          </w:p>
        </w:tc>
        <w:tc>
          <w:tcPr>
            <w:tcW w:w="3108" w:type="dxa"/>
            <w:tcBorders>
              <w:top w:val="single" w:color="auto" w:sz="4" w:space="0"/>
              <w:left w:val="nil"/>
              <w:bottom w:val="single" w:color="auto" w:sz="4" w:space="0"/>
              <w:right w:val="single" w:color="auto" w:sz="4" w:space="0"/>
            </w:tcBorders>
            <w:shd w:val="clear" w:color="auto" w:fill="E6E0EC" w:themeFill="accent4" w:themeFillTint="32"/>
            <w:noWrap/>
          </w:tcPr>
          <w:p>
            <w:pPr>
              <w:spacing w:after="0" w:line="240" w:lineRule="auto"/>
              <w:jc w:val="right"/>
              <w:rPr>
                <w:rFonts w:hint="default" w:ascii="Tahoma" w:hAnsi="Tahoma" w:eastAsia="Times New Roman" w:cs="Tahoma"/>
                <w:b/>
                <w:color w:val="000000"/>
                <w:sz w:val="22"/>
                <w:szCs w:val="22"/>
                <w:lang w:val="id-ID"/>
              </w:rPr>
            </w:pPr>
            <w:r>
              <w:rPr>
                <w:rFonts w:hint="default" w:ascii="Tahoma" w:hAnsi="Tahoma" w:eastAsia="Times New Roman" w:cs="Tahoma"/>
                <w:b/>
                <w:color w:val="000000"/>
                <w:sz w:val="22"/>
                <w:szCs w:val="22"/>
              </w:rPr>
              <w:t> </w:t>
            </w:r>
            <w:r>
              <w:rPr>
                <w:rFonts w:hint="default" w:ascii="Tahoma" w:hAnsi="Tahoma" w:eastAsia="Times New Roman" w:cs="Tahoma"/>
                <w:b/>
                <w:color w:val="000000"/>
                <w:sz w:val="22"/>
                <w:szCs w:val="22"/>
                <w:lang w:val="id-ID"/>
              </w:rPr>
              <w:t>JUMLAH</w:t>
            </w:r>
          </w:p>
        </w:tc>
        <w:tc>
          <w:tcPr>
            <w:tcW w:w="2170" w:type="dxa"/>
            <w:tcBorders>
              <w:top w:val="nil"/>
              <w:left w:val="nil"/>
              <w:bottom w:val="single" w:color="auto" w:sz="4" w:space="0"/>
              <w:right w:val="single" w:color="auto" w:sz="4" w:space="0"/>
            </w:tcBorders>
            <w:shd w:val="clear" w:color="auto" w:fill="E6E0EC" w:themeFill="accent4" w:themeFillTint="32"/>
            <w:noWrap/>
          </w:tcPr>
          <w:p>
            <w:pPr>
              <w:spacing w:after="0" w:line="240" w:lineRule="auto"/>
              <w:jc w:val="right"/>
              <w:rPr>
                <w:rFonts w:hint="default" w:ascii="Tahoma" w:hAnsi="Tahoma" w:eastAsia="Times New Roman" w:cs="Tahoma"/>
                <w:b/>
                <w:bCs/>
                <w:color w:val="000000"/>
                <w:sz w:val="22"/>
                <w:szCs w:val="22"/>
                <w:lang w:val="id-ID"/>
              </w:rPr>
            </w:pPr>
            <w:r>
              <w:rPr>
                <w:rFonts w:hint="default" w:ascii="Tahoma" w:hAnsi="Tahoma" w:cs="Tahoma"/>
                <w:b/>
                <w:bCs/>
                <w:color w:val="000000"/>
                <w:sz w:val="22"/>
                <w:szCs w:val="22"/>
              </w:rPr>
              <w:t>30.707.113.335</w:t>
            </w:r>
            <w:r>
              <w:rPr>
                <w:rFonts w:hint="default" w:ascii="Tahoma" w:hAnsi="Tahoma" w:cs="Tahoma"/>
                <w:b/>
                <w:bCs/>
                <w:color w:val="000000"/>
                <w:sz w:val="22"/>
                <w:szCs w:val="22"/>
                <w:lang w:val="id-ID"/>
              </w:rPr>
              <w:t>,-</w:t>
            </w:r>
          </w:p>
        </w:tc>
        <w:tc>
          <w:tcPr>
            <w:tcW w:w="850" w:type="dxa"/>
            <w:tcBorders>
              <w:top w:val="nil"/>
              <w:left w:val="nil"/>
              <w:bottom w:val="single" w:color="auto" w:sz="4" w:space="0"/>
              <w:right w:val="single" w:color="auto" w:sz="4" w:space="0"/>
            </w:tcBorders>
            <w:shd w:val="clear" w:color="auto" w:fill="E6E0EC" w:themeFill="accent4" w:themeFillTint="32"/>
            <w:noWrap/>
          </w:tcPr>
          <w:p>
            <w:pPr>
              <w:spacing w:after="0" w:line="240" w:lineRule="auto"/>
              <w:jc w:val="right"/>
              <w:rPr>
                <w:rFonts w:hint="default" w:ascii="Tahoma" w:hAnsi="Tahoma" w:eastAsia="Times New Roman" w:cs="Tahoma"/>
                <w:b/>
                <w:bCs/>
                <w:color w:val="000000" w:themeColor="text1"/>
                <w:sz w:val="22"/>
                <w:szCs w:val="22"/>
                <w14:textFill>
                  <w14:solidFill>
                    <w14:schemeClr w14:val="tx1"/>
                  </w14:solidFill>
                </w14:textFill>
              </w:rPr>
            </w:pPr>
            <w:r>
              <w:rPr>
                <w:rFonts w:hint="default" w:ascii="Tahoma" w:hAnsi="Tahoma" w:eastAsia="Times New Roman" w:cs="Tahoma"/>
                <w:b/>
                <w:bCs/>
                <w:color w:val="000000" w:themeColor="text1"/>
                <w:sz w:val="22"/>
                <w:szCs w:val="22"/>
                <w14:textFill>
                  <w14:solidFill>
                    <w14:schemeClr w14:val="tx1"/>
                  </w14:solidFill>
                </w14:textFill>
              </w:rPr>
              <w:t xml:space="preserve">100 </w:t>
            </w:r>
          </w:p>
        </w:tc>
        <w:tc>
          <w:tcPr>
            <w:tcW w:w="2190" w:type="dxa"/>
            <w:tcBorders>
              <w:top w:val="nil"/>
              <w:left w:val="nil"/>
              <w:bottom w:val="single" w:color="auto" w:sz="4" w:space="0"/>
              <w:right w:val="single" w:color="auto" w:sz="4" w:space="0"/>
            </w:tcBorders>
            <w:shd w:val="clear" w:color="auto" w:fill="E6E0EC" w:themeFill="accent4" w:themeFillTint="32"/>
            <w:noWrap/>
          </w:tcPr>
          <w:p>
            <w:pPr>
              <w:spacing w:after="0" w:line="240" w:lineRule="auto"/>
              <w:jc w:val="right"/>
              <w:rPr>
                <w:rFonts w:hint="default" w:ascii="Tahoma" w:hAnsi="Tahoma" w:eastAsia="Times New Roman" w:cs="Tahoma"/>
                <w:b/>
                <w:bCs/>
                <w:color w:val="000000" w:themeColor="text1"/>
                <w:sz w:val="22"/>
                <w:szCs w:val="22"/>
                <w14:textFill>
                  <w14:solidFill>
                    <w14:schemeClr w14:val="tx1"/>
                  </w14:solidFill>
                </w14:textFill>
              </w:rPr>
            </w:pPr>
            <w:r>
              <w:rPr>
                <w:rFonts w:hint="default" w:ascii="Tahoma" w:hAnsi="Tahoma" w:cs="Tahoma"/>
                <w:b/>
                <w:bCs/>
                <w:color w:val="000000" w:themeColor="text1"/>
                <w:sz w:val="22"/>
                <w:szCs w:val="22"/>
                <w14:textFill>
                  <w14:solidFill>
                    <w14:schemeClr w14:val="tx1"/>
                  </w14:solidFill>
                </w14:textFill>
              </w:rPr>
              <w:t>28.371.032.949,-</w:t>
            </w:r>
          </w:p>
        </w:tc>
        <w:tc>
          <w:tcPr>
            <w:tcW w:w="850" w:type="dxa"/>
            <w:tcBorders>
              <w:top w:val="nil"/>
              <w:left w:val="nil"/>
              <w:bottom w:val="single" w:color="auto" w:sz="4" w:space="0"/>
              <w:right w:val="single" w:color="auto" w:sz="4" w:space="0"/>
            </w:tcBorders>
            <w:shd w:val="clear" w:color="auto" w:fill="E6E0EC" w:themeFill="accent4" w:themeFillTint="32"/>
            <w:noWrap/>
          </w:tcPr>
          <w:p>
            <w:pPr>
              <w:spacing w:after="0" w:line="240" w:lineRule="auto"/>
              <w:jc w:val="right"/>
              <w:rPr>
                <w:rFonts w:hint="default" w:ascii="Tahoma" w:hAnsi="Tahoma" w:eastAsia="Times New Roman" w:cs="Tahoma"/>
                <w:b/>
                <w:bCs/>
                <w:color w:val="000000" w:themeColor="text1"/>
                <w:sz w:val="22"/>
                <w:szCs w:val="22"/>
                <w14:textFill>
                  <w14:solidFill>
                    <w14:schemeClr w14:val="tx1"/>
                  </w14:solidFill>
                </w14:textFill>
              </w:rPr>
            </w:pPr>
            <w:r>
              <w:rPr>
                <w:rFonts w:hint="default" w:ascii="Tahoma" w:hAnsi="Tahoma" w:eastAsia="Times New Roman" w:cs="Tahoma"/>
                <w:b/>
                <w:bCs/>
                <w:color w:val="000000" w:themeColor="text1"/>
                <w:sz w:val="22"/>
                <w:szCs w:val="22"/>
                <w14:textFill>
                  <w14:solidFill>
                    <w14:schemeClr w14:val="tx1"/>
                  </w14:solidFill>
                </w14:textFill>
              </w:rPr>
              <w:t>92,39</w:t>
            </w:r>
          </w:p>
        </w:tc>
      </w:tr>
    </w:tbl>
    <w:p>
      <w:pPr>
        <w:autoSpaceDE w:val="0"/>
        <w:autoSpaceDN w:val="0"/>
        <w:adjustRightInd w:val="0"/>
        <w:spacing w:before="120" w:after="120" w:line="360" w:lineRule="auto"/>
        <w:rPr>
          <w:rFonts w:ascii="Tahoma" w:hAnsi="Tahoma" w:cs="Tahoma"/>
          <w:lang w:val="id-ID"/>
        </w:rPr>
      </w:pPr>
    </w:p>
    <w:p>
      <w:pPr>
        <w:autoSpaceDE w:val="0"/>
        <w:autoSpaceDN w:val="0"/>
        <w:adjustRightInd w:val="0"/>
        <w:spacing w:before="120" w:after="120" w:line="360" w:lineRule="auto"/>
        <w:ind w:left="440"/>
        <w:jc w:val="both"/>
        <w:rPr>
          <w:rFonts w:ascii="Tahoma" w:hAnsi="Tahoma" w:cs="Tahoma"/>
          <w:lang w:val="id-ID"/>
        </w:rPr>
      </w:pPr>
      <w:r>
        <w:rPr>
          <w:rFonts w:ascii="Tahoma" w:hAnsi="Tahoma" w:cs="Tahoma"/>
          <w:lang w:val="id-ID"/>
        </w:rPr>
        <w:t>Penyerapan anggaran belanja langsung pada tahun 20</w:t>
      </w:r>
      <w:r>
        <w:rPr>
          <w:rFonts w:ascii="Tahoma" w:hAnsi="Tahoma" w:cs="Tahoma"/>
        </w:rPr>
        <w:t>20</w:t>
      </w:r>
      <w:r>
        <w:rPr>
          <w:rFonts w:ascii="Tahoma" w:hAnsi="Tahoma" w:cs="Tahoma"/>
          <w:lang w:val="id-ID"/>
        </w:rPr>
        <w:t xml:space="preserve"> sebesar 92,</w:t>
      </w:r>
      <w:r>
        <w:rPr>
          <w:rFonts w:ascii="Tahoma" w:hAnsi="Tahoma" w:cs="Tahoma"/>
        </w:rPr>
        <w:t>39</w:t>
      </w:r>
      <w:r>
        <w:rPr>
          <w:rFonts w:ascii="Tahoma" w:hAnsi="Tahoma" w:cs="Tahoma"/>
          <w:lang w:val="id-ID"/>
        </w:rPr>
        <w:t>% dari total anggaran yang dialokasikan. Jika dilihat dari realisasi anggaran per sasaran strategis</w:t>
      </w:r>
      <w:r>
        <w:rPr>
          <w:rFonts w:ascii="Tahoma" w:hAnsi="Tahoma" w:cs="Tahoma"/>
        </w:rPr>
        <w:t>,</w:t>
      </w:r>
      <w:r>
        <w:rPr>
          <w:rFonts w:ascii="Tahoma" w:hAnsi="Tahoma" w:cs="Tahoma"/>
          <w:lang w:val="id-ID"/>
        </w:rPr>
        <w:t xml:space="preserve"> penyerapan anggaran terbesar pada </w:t>
      </w:r>
      <w:r>
        <w:rPr>
          <w:rFonts w:ascii="Tahoma" w:hAnsi="Tahoma" w:cs="Tahoma"/>
        </w:rPr>
        <w:t>P</w:t>
      </w:r>
      <w:r>
        <w:rPr>
          <w:rFonts w:ascii="Tahoma" w:hAnsi="Tahoma" w:cs="Tahoma"/>
          <w:lang w:val="id-ID"/>
        </w:rPr>
        <w:t xml:space="preserve">rogram Pembinaan </w:t>
      </w:r>
      <w:r>
        <w:rPr>
          <w:rFonts w:ascii="Tahoma" w:hAnsi="Tahoma" w:cs="Tahoma"/>
        </w:rPr>
        <w:t>d</w:t>
      </w:r>
      <w:r>
        <w:rPr>
          <w:rFonts w:ascii="Tahoma" w:hAnsi="Tahoma" w:cs="Tahoma"/>
          <w:lang w:val="id-ID"/>
        </w:rPr>
        <w:t xml:space="preserve">an Fasiltasi Pengelolaan Keuangan Kabupaten/Kota sebesar </w:t>
      </w:r>
      <w:r>
        <w:rPr>
          <w:rFonts w:ascii="Tahoma" w:hAnsi="Tahoma" w:cs="Tahoma"/>
        </w:rPr>
        <w:t>96,21</w:t>
      </w:r>
      <w:r>
        <w:rPr>
          <w:rFonts w:ascii="Tahoma" w:hAnsi="Tahoma" w:cs="Tahoma"/>
          <w:lang w:val="id-ID"/>
        </w:rPr>
        <w:t xml:space="preserve">% dan diikuti dengan </w:t>
      </w:r>
      <w:r>
        <w:rPr>
          <w:rFonts w:ascii="Tahoma" w:hAnsi="Tahoma" w:cs="Tahoma"/>
        </w:rPr>
        <w:t>P</w:t>
      </w:r>
      <w:r>
        <w:rPr>
          <w:rFonts w:ascii="Tahoma" w:hAnsi="Tahoma" w:cs="Tahoma"/>
          <w:lang w:val="id-ID"/>
        </w:rPr>
        <w:t xml:space="preserve">rogram Peningkatan Pelayanan Publik </w:t>
      </w:r>
      <w:r>
        <w:rPr>
          <w:rFonts w:ascii="Tahoma" w:hAnsi="Tahoma" w:cs="Tahoma"/>
        </w:rPr>
        <w:t>91,90</w:t>
      </w:r>
      <w:r>
        <w:rPr>
          <w:rFonts w:ascii="Tahoma" w:hAnsi="Tahoma" w:cs="Tahoma"/>
          <w:lang w:val="id-ID"/>
        </w:rPr>
        <w:t>%</w:t>
      </w:r>
      <w:r>
        <w:rPr>
          <w:rFonts w:ascii="Tahoma" w:hAnsi="Tahoma" w:cs="Tahoma"/>
        </w:rPr>
        <w:t>,lalu</w:t>
      </w:r>
      <w:r>
        <w:rPr>
          <w:rFonts w:ascii="Tahoma" w:hAnsi="Tahoma" w:cs="Tahoma"/>
          <w:lang w:val="id-ID"/>
        </w:rPr>
        <w:t xml:space="preserve"> Program Peningkatan Kualitas Pengelolaan Keuangan </w:t>
      </w:r>
      <w:r>
        <w:rPr>
          <w:rFonts w:ascii="Tahoma" w:hAnsi="Tahoma" w:cs="Tahoma"/>
        </w:rPr>
        <w:t>90,48</w:t>
      </w:r>
      <w:r>
        <w:rPr>
          <w:rFonts w:ascii="Tahoma" w:hAnsi="Tahoma" w:cs="Tahoma"/>
          <w:lang w:val="id-ID"/>
        </w:rPr>
        <w:t>%</w:t>
      </w:r>
      <w:r>
        <w:rPr>
          <w:rFonts w:ascii="Tahoma" w:hAnsi="Tahoma" w:cs="Tahoma"/>
        </w:rPr>
        <w:t xml:space="preserve"> dan Program </w:t>
      </w:r>
      <w:r>
        <w:rPr>
          <w:rFonts w:ascii="Tahoma" w:hAnsi="Tahoma" w:cs="Tahoma"/>
          <w:lang w:val="id-ID"/>
        </w:rPr>
        <w:t xml:space="preserve">Peningkatan Pendapatan Daerah </w:t>
      </w:r>
      <w:r>
        <w:rPr>
          <w:rFonts w:ascii="Tahoma" w:hAnsi="Tahoma" w:cs="Tahoma"/>
        </w:rPr>
        <w:t>89,45</w:t>
      </w:r>
      <w:r>
        <w:rPr>
          <w:rFonts w:ascii="Tahoma" w:hAnsi="Tahoma" w:cs="Tahoma"/>
          <w:lang w:val="id-ID"/>
        </w:rPr>
        <w:t>%</w:t>
      </w:r>
      <w:r>
        <w:rPr>
          <w:rFonts w:ascii="Tahoma" w:hAnsi="Tahoma" w:cs="Tahoma"/>
        </w:rPr>
        <w:t>.</w:t>
      </w:r>
    </w:p>
    <w:p>
      <w:pPr>
        <w:autoSpaceDE w:val="0"/>
        <w:autoSpaceDN w:val="0"/>
        <w:adjustRightInd w:val="0"/>
        <w:spacing w:before="120" w:after="120" w:line="360" w:lineRule="auto"/>
        <w:ind w:left="440" w:leftChars="200"/>
        <w:jc w:val="both"/>
        <w:rPr>
          <w:rFonts w:ascii="Tahoma" w:hAnsi="Tahoma" w:cs="Tahoma"/>
          <w:lang w:val="id-ID"/>
        </w:rPr>
      </w:pPr>
      <w:r>
        <w:rPr>
          <w:rFonts w:ascii="Tahoma" w:hAnsi="Tahoma" w:cs="Tahoma"/>
        </w:rPr>
        <w:t xml:space="preserve">Capaian kinerja program/kegiatan </w:t>
      </w:r>
      <w:r>
        <w:rPr>
          <w:rFonts w:ascii="Tahoma" w:hAnsi="Tahoma" w:cs="Tahoma"/>
          <w:lang w:val="id-ID"/>
        </w:rPr>
        <w:t>yang dilaks</w:t>
      </w:r>
      <w:r>
        <w:rPr>
          <w:rFonts w:ascii="Tahoma" w:hAnsi="Tahoma" w:cs="Tahoma"/>
        </w:rPr>
        <w:t>a</w:t>
      </w:r>
      <w:r>
        <w:rPr>
          <w:rFonts w:ascii="Tahoma" w:hAnsi="Tahoma" w:cs="Tahoma"/>
          <w:lang w:val="id-ID"/>
        </w:rPr>
        <w:t xml:space="preserve">nakan </w:t>
      </w:r>
      <w:r>
        <w:rPr>
          <w:rFonts w:ascii="Tahoma" w:hAnsi="Tahoma" w:cs="Tahoma"/>
        </w:rPr>
        <w:t xml:space="preserve">selama Tahun Anggaran 2020 sesuai dokumen anggaran dapat dilihat pada tabel berikut: </w:t>
      </w:r>
    </w:p>
    <w:p>
      <w:pPr>
        <w:autoSpaceDE w:val="0"/>
        <w:autoSpaceDN w:val="0"/>
        <w:adjustRightInd w:val="0"/>
        <w:spacing w:before="60" w:after="60" w:line="240" w:lineRule="auto"/>
        <w:jc w:val="center"/>
        <w:rPr>
          <w:rFonts w:hint="default" w:ascii="Arial" w:hAnsi="Arial" w:cs="Arial"/>
          <w:b/>
          <w:color w:val="000000" w:themeColor="text1"/>
          <w:lang w:val="en-US"/>
          <w14:textFill>
            <w14:solidFill>
              <w14:schemeClr w14:val="tx1"/>
            </w14:solidFill>
          </w14:textFill>
        </w:rPr>
      </w:pPr>
      <w:r>
        <w:rPr>
          <w:rFonts w:ascii="Arial" w:hAnsi="Arial" w:cs="Arial"/>
          <w:b/>
          <w:color w:val="000000" w:themeColor="text1"/>
          <w14:textFill>
            <w14:solidFill>
              <w14:schemeClr w14:val="tx1"/>
            </w14:solidFill>
          </w14:textFill>
        </w:rPr>
        <w:t>Tabel 3.</w:t>
      </w:r>
      <w:r>
        <w:rPr>
          <w:rFonts w:hint="default" w:ascii="Arial" w:hAnsi="Arial" w:cs="Arial"/>
          <w:b/>
          <w:color w:val="000000" w:themeColor="text1"/>
          <w:lang w:val="en-US"/>
          <w14:textFill>
            <w14:solidFill>
              <w14:schemeClr w14:val="tx1"/>
            </w14:solidFill>
          </w14:textFill>
        </w:rPr>
        <w:t>14</w:t>
      </w:r>
    </w:p>
    <w:p>
      <w:pPr>
        <w:spacing w:before="60" w:after="60" w:line="240" w:lineRule="auto"/>
        <w:jc w:val="center"/>
        <w:rPr>
          <w:rFonts w:ascii="Arial" w:hAnsi="Arial" w:cs="Arial"/>
          <w:b/>
          <w:lang w:val="id-ID"/>
        </w:rPr>
      </w:pPr>
      <w:r>
        <w:rPr>
          <w:rFonts w:ascii="Arial" w:hAnsi="Arial" w:cs="Arial"/>
          <w:b/>
          <w:color w:val="000000" w:themeColor="text1"/>
          <w14:textFill>
            <w14:solidFill>
              <w14:schemeClr w14:val="tx1"/>
            </w14:solidFill>
          </w14:textFill>
        </w:rPr>
        <w:t>Capaian Kinerja Program/Kegiatan Sesuai Dokumen Anggaran</w:t>
      </w:r>
    </w:p>
    <w:tbl>
      <w:tblPr>
        <w:tblStyle w:val="19"/>
        <w:tblW w:w="10693" w:type="dxa"/>
        <w:tblInd w:w="-7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1222"/>
        <w:gridCol w:w="1276"/>
        <w:gridCol w:w="1181"/>
        <w:gridCol w:w="1293"/>
        <w:gridCol w:w="1028"/>
        <w:gridCol w:w="1445"/>
        <w:gridCol w:w="1387"/>
        <w:gridCol w:w="12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shd w:val="clear" w:color="auto" w:fill="D8D8D8" w:themeFill="background1" w:themeFillShade="D9"/>
          </w:tcPr>
          <w:p>
            <w:pPr>
              <w:pStyle w:val="30"/>
              <w:spacing w:before="60" w:after="60" w:line="240" w:lineRule="auto"/>
              <w:ind w:left="0"/>
              <w:contextualSpacing w:val="0"/>
              <w:jc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No</w:t>
            </w:r>
          </w:p>
        </w:tc>
        <w:tc>
          <w:tcPr>
            <w:tcW w:w="1222" w:type="dxa"/>
            <w:shd w:val="clear" w:color="auto" w:fill="D8D8D8" w:themeFill="background1" w:themeFillShade="D9"/>
          </w:tcPr>
          <w:p>
            <w:pPr>
              <w:pStyle w:val="30"/>
              <w:spacing w:before="60" w:after="60" w:line="240" w:lineRule="auto"/>
              <w:ind w:left="0"/>
              <w:contextualSpacing w:val="0"/>
              <w:jc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Program/Kegiatan</w:t>
            </w:r>
          </w:p>
        </w:tc>
        <w:tc>
          <w:tcPr>
            <w:tcW w:w="1276" w:type="dxa"/>
            <w:shd w:val="clear" w:color="auto" w:fill="D8D8D8" w:themeFill="background1" w:themeFillShade="D9"/>
          </w:tcPr>
          <w:p>
            <w:pPr>
              <w:pStyle w:val="30"/>
              <w:spacing w:before="60" w:after="60" w:line="240" w:lineRule="auto"/>
              <w:ind w:left="0"/>
              <w:contextualSpacing w:val="0"/>
              <w:jc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Kebijakan</w:t>
            </w:r>
          </w:p>
        </w:tc>
        <w:tc>
          <w:tcPr>
            <w:tcW w:w="1181" w:type="dxa"/>
            <w:shd w:val="clear" w:color="auto" w:fill="D8D8D8" w:themeFill="background1" w:themeFillShade="D9"/>
          </w:tcPr>
          <w:p>
            <w:pPr>
              <w:pStyle w:val="30"/>
              <w:spacing w:before="60" w:after="60" w:line="240" w:lineRule="auto"/>
              <w:ind w:left="0"/>
              <w:contextualSpacing w:val="0"/>
              <w:jc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 xml:space="preserve">Target dalam dokumen anggaran </w:t>
            </w:r>
          </w:p>
        </w:tc>
        <w:tc>
          <w:tcPr>
            <w:tcW w:w="1293" w:type="dxa"/>
            <w:shd w:val="clear" w:color="auto" w:fill="D8D8D8" w:themeFill="background1" w:themeFillShade="D9"/>
          </w:tcPr>
          <w:p>
            <w:pPr>
              <w:pStyle w:val="30"/>
              <w:spacing w:before="60" w:after="60" w:line="240" w:lineRule="auto"/>
              <w:ind w:left="0"/>
              <w:contextualSpacing w:val="0"/>
              <w:jc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Realisasi</w:t>
            </w:r>
          </w:p>
        </w:tc>
        <w:tc>
          <w:tcPr>
            <w:tcW w:w="1028" w:type="dxa"/>
            <w:shd w:val="clear" w:color="auto" w:fill="D8D8D8" w:themeFill="background1" w:themeFillShade="D9"/>
          </w:tcPr>
          <w:p>
            <w:pPr>
              <w:pStyle w:val="30"/>
              <w:spacing w:before="60" w:after="60" w:line="240" w:lineRule="auto"/>
              <w:ind w:left="0"/>
              <w:contextualSpacing w:val="0"/>
              <w:jc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Capaian Kinerja</w:t>
            </w:r>
          </w:p>
          <w:p>
            <w:pPr>
              <w:pStyle w:val="30"/>
              <w:spacing w:before="60" w:after="60" w:line="240" w:lineRule="auto"/>
              <w:ind w:left="0"/>
              <w:contextualSpacing w:val="0"/>
              <w:jc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w:t>
            </w:r>
          </w:p>
        </w:tc>
        <w:tc>
          <w:tcPr>
            <w:tcW w:w="1445" w:type="dxa"/>
            <w:shd w:val="clear" w:color="auto" w:fill="D8D8D8" w:themeFill="background1" w:themeFillShade="D9"/>
          </w:tcPr>
          <w:p>
            <w:pPr>
              <w:pStyle w:val="30"/>
              <w:spacing w:before="60" w:after="60" w:line="240" w:lineRule="auto"/>
              <w:ind w:left="0"/>
              <w:contextualSpacing w:val="0"/>
              <w:jc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Alokasi anggaran</w:t>
            </w:r>
          </w:p>
        </w:tc>
        <w:tc>
          <w:tcPr>
            <w:tcW w:w="1387" w:type="dxa"/>
            <w:shd w:val="clear" w:color="auto" w:fill="D8D8D8" w:themeFill="background1" w:themeFillShade="D9"/>
          </w:tcPr>
          <w:p>
            <w:pPr>
              <w:pStyle w:val="30"/>
              <w:spacing w:before="60" w:after="60" w:line="240" w:lineRule="auto"/>
              <w:ind w:left="0"/>
              <w:contextualSpacing w:val="0"/>
              <w:jc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Realisasi anggaran</w:t>
            </w:r>
          </w:p>
        </w:tc>
        <w:tc>
          <w:tcPr>
            <w:tcW w:w="1294" w:type="dxa"/>
            <w:shd w:val="clear" w:color="auto" w:fill="D8D8D8" w:themeFill="background1" w:themeFillShade="D9"/>
          </w:tcPr>
          <w:p>
            <w:pPr>
              <w:pStyle w:val="30"/>
              <w:spacing w:before="60" w:after="60" w:line="240" w:lineRule="auto"/>
              <w:ind w:left="0"/>
              <w:contextualSpacing w:val="0"/>
              <w:jc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Persentase realisasi</w:t>
            </w:r>
          </w:p>
          <w:p>
            <w:pPr>
              <w:pStyle w:val="30"/>
              <w:spacing w:before="60" w:after="60" w:line="240" w:lineRule="auto"/>
              <w:ind w:left="0"/>
              <w:contextualSpacing w:val="0"/>
              <w:jc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shd w:val="clear" w:color="auto" w:fill="D8D8D8" w:themeFill="background1" w:themeFillShade="D9"/>
          </w:tcPr>
          <w:p>
            <w:pPr>
              <w:pStyle w:val="30"/>
              <w:spacing w:before="60" w:after="60" w:line="240" w:lineRule="auto"/>
              <w:ind w:left="-235" w:right="-105"/>
              <w:contextualSpacing w:val="0"/>
              <w:jc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1</w:t>
            </w:r>
          </w:p>
        </w:tc>
        <w:tc>
          <w:tcPr>
            <w:tcW w:w="1222" w:type="dxa"/>
            <w:shd w:val="clear" w:color="auto" w:fill="D8D8D8" w:themeFill="background1" w:themeFillShade="D9"/>
          </w:tcPr>
          <w:p>
            <w:pPr>
              <w:pStyle w:val="30"/>
              <w:spacing w:before="60" w:after="60" w:line="240" w:lineRule="auto"/>
              <w:ind w:left="0"/>
              <w:contextualSpacing w:val="0"/>
              <w:jc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2</w:t>
            </w:r>
          </w:p>
        </w:tc>
        <w:tc>
          <w:tcPr>
            <w:tcW w:w="1276" w:type="dxa"/>
            <w:shd w:val="clear" w:color="auto" w:fill="D8D8D8" w:themeFill="background1" w:themeFillShade="D9"/>
          </w:tcPr>
          <w:p>
            <w:pPr>
              <w:pStyle w:val="30"/>
              <w:spacing w:before="60" w:after="60" w:line="240" w:lineRule="auto"/>
              <w:ind w:left="0"/>
              <w:contextualSpacing w:val="0"/>
              <w:jc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3</w:t>
            </w:r>
          </w:p>
        </w:tc>
        <w:tc>
          <w:tcPr>
            <w:tcW w:w="1181" w:type="dxa"/>
            <w:shd w:val="clear" w:color="auto" w:fill="D8D8D8" w:themeFill="background1" w:themeFillShade="D9"/>
          </w:tcPr>
          <w:p>
            <w:pPr>
              <w:pStyle w:val="30"/>
              <w:spacing w:before="60" w:after="60" w:line="240" w:lineRule="auto"/>
              <w:ind w:left="0"/>
              <w:contextualSpacing w:val="0"/>
              <w:jc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4</w:t>
            </w:r>
          </w:p>
        </w:tc>
        <w:tc>
          <w:tcPr>
            <w:tcW w:w="1293" w:type="dxa"/>
            <w:shd w:val="clear" w:color="auto" w:fill="D8D8D8" w:themeFill="background1" w:themeFillShade="D9"/>
          </w:tcPr>
          <w:p>
            <w:pPr>
              <w:pStyle w:val="30"/>
              <w:spacing w:before="60" w:after="60" w:line="240" w:lineRule="auto"/>
              <w:ind w:left="0"/>
              <w:contextualSpacing w:val="0"/>
              <w:jc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5</w:t>
            </w:r>
          </w:p>
        </w:tc>
        <w:tc>
          <w:tcPr>
            <w:tcW w:w="1028" w:type="dxa"/>
            <w:shd w:val="clear" w:color="auto" w:fill="D8D8D8" w:themeFill="background1" w:themeFillShade="D9"/>
          </w:tcPr>
          <w:p>
            <w:pPr>
              <w:pStyle w:val="30"/>
              <w:spacing w:before="60" w:after="60" w:line="240" w:lineRule="auto"/>
              <w:ind w:left="0"/>
              <w:contextualSpacing w:val="0"/>
              <w:jc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6</w:t>
            </w:r>
          </w:p>
        </w:tc>
        <w:tc>
          <w:tcPr>
            <w:tcW w:w="1445" w:type="dxa"/>
            <w:shd w:val="clear" w:color="auto" w:fill="D8D8D8" w:themeFill="background1" w:themeFillShade="D9"/>
          </w:tcPr>
          <w:p>
            <w:pPr>
              <w:pStyle w:val="30"/>
              <w:spacing w:before="60" w:after="60" w:line="240" w:lineRule="auto"/>
              <w:ind w:left="0"/>
              <w:contextualSpacing w:val="0"/>
              <w:jc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7</w:t>
            </w:r>
          </w:p>
        </w:tc>
        <w:tc>
          <w:tcPr>
            <w:tcW w:w="1387" w:type="dxa"/>
            <w:shd w:val="clear" w:color="auto" w:fill="D8D8D8" w:themeFill="background1" w:themeFillShade="D9"/>
          </w:tcPr>
          <w:p>
            <w:pPr>
              <w:pStyle w:val="30"/>
              <w:spacing w:before="60" w:after="60" w:line="240" w:lineRule="auto"/>
              <w:ind w:left="0"/>
              <w:contextualSpacing w:val="0"/>
              <w:jc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8</w:t>
            </w:r>
          </w:p>
        </w:tc>
        <w:tc>
          <w:tcPr>
            <w:tcW w:w="1294" w:type="dxa"/>
            <w:shd w:val="clear" w:color="auto" w:fill="D8D8D8" w:themeFill="background1" w:themeFillShade="D9"/>
          </w:tcPr>
          <w:p>
            <w:pPr>
              <w:pStyle w:val="30"/>
              <w:spacing w:before="60" w:after="60" w:line="240" w:lineRule="auto"/>
              <w:ind w:left="0"/>
              <w:contextualSpacing w:val="0"/>
              <w:jc w:val="center"/>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shd w:val="clear" w:color="auto" w:fill="EBF1DE" w:themeFill="accent3" w:themeFillTint="32"/>
          </w:tcPr>
          <w:p>
            <w:pPr>
              <w:pStyle w:val="30"/>
              <w:spacing w:before="60" w:after="60" w:line="240" w:lineRule="auto"/>
              <w:ind w:left="150" w:right="-105"/>
              <w:contextualSpacing w:val="0"/>
              <w:jc w:val="both"/>
              <w:rPr>
                <w:rFonts w:ascii="Arial" w:hAnsi="Arial" w:cs="Arial"/>
                <w:b/>
                <w:i/>
                <w:iCs/>
                <w:sz w:val="15"/>
                <w:szCs w:val="15"/>
              </w:rPr>
            </w:pPr>
            <w:r>
              <w:rPr>
                <w:rFonts w:ascii="Arial" w:hAnsi="Arial" w:cs="Arial"/>
                <w:b/>
                <w:i/>
                <w:iCs/>
                <w:sz w:val="15"/>
                <w:szCs w:val="15"/>
              </w:rPr>
              <w:t>I</w:t>
            </w:r>
          </w:p>
        </w:tc>
        <w:tc>
          <w:tcPr>
            <w:tcW w:w="1222" w:type="dxa"/>
            <w:shd w:val="clear" w:color="auto" w:fill="EBF1DE" w:themeFill="accent3" w:themeFillTint="32"/>
          </w:tcPr>
          <w:p>
            <w:pPr>
              <w:pStyle w:val="30"/>
              <w:spacing w:before="60" w:after="60" w:line="240" w:lineRule="auto"/>
              <w:ind w:left="0"/>
              <w:contextualSpacing w:val="0"/>
              <w:rPr>
                <w:rFonts w:ascii="Arial" w:hAnsi="Arial" w:cs="Arial"/>
                <w:b/>
                <w:i/>
                <w:iCs/>
                <w:sz w:val="15"/>
                <w:szCs w:val="15"/>
              </w:rPr>
            </w:pPr>
            <w:r>
              <w:rPr>
                <w:rFonts w:ascii="Arial" w:hAnsi="Arial" w:cs="Arial"/>
                <w:b/>
                <w:i/>
                <w:iCs/>
                <w:sz w:val="15"/>
                <w:szCs w:val="15"/>
              </w:rPr>
              <w:t>Program Pelayanan Administrasi Perkantoran</w:t>
            </w:r>
          </w:p>
        </w:tc>
        <w:tc>
          <w:tcPr>
            <w:tcW w:w="1276"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r>
              <w:rPr>
                <w:rFonts w:ascii="Arial" w:hAnsi="Arial" w:cs="Arial"/>
                <w:b/>
                <w:i/>
                <w:iCs/>
                <w:sz w:val="15"/>
                <w:szCs w:val="15"/>
              </w:rPr>
              <w:t xml:space="preserve">Program Penunjang OPD  </w:t>
            </w:r>
          </w:p>
        </w:tc>
        <w:tc>
          <w:tcPr>
            <w:tcW w:w="1181" w:type="dxa"/>
            <w:shd w:val="clear" w:color="auto" w:fill="EBF1DE" w:themeFill="accent3" w:themeFillTint="32"/>
          </w:tcPr>
          <w:p>
            <w:pPr>
              <w:rPr>
                <w:rFonts w:ascii="Arial" w:hAnsi="Arial" w:eastAsia="Times New Roman" w:cs="Arial"/>
                <w:b/>
                <w:i/>
                <w:iCs/>
                <w:color w:val="000000" w:themeColor="text1"/>
                <w:sz w:val="15"/>
                <w:szCs w:val="15"/>
                <w14:textFill>
                  <w14:solidFill>
                    <w14:schemeClr w14:val="tx1"/>
                  </w14:solidFill>
                </w14:textFill>
              </w:rPr>
            </w:pPr>
          </w:p>
        </w:tc>
        <w:tc>
          <w:tcPr>
            <w:tcW w:w="1293" w:type="dxa"/>
            <w:shd w:val="clear" w:color="auto" w:fill="EBF1DE" w:themeFill="accent3" w:themeFillTint="32"/>
          </w:tcPr>
          <w:p>
            <w:pPr>
              <w:rPr>
                <w:rFonts w:ascii="Arial" w:hAnsi="Arial" w:cs="Arial"/>
                <w:b/>
                <w:i/>
                <w:iCs/>
                <w:color w:val="FF0000"/>
                <w:sz w:val="15"/>
                <w:szCs w:val="15"/>
              </w:rPr>
            </w:pPr>
          </w:p>
        </w:tc>
        <w:tc>
          <w:tcPr>
            <w:tcW w:w="1028" w:type="dxa"/>
            <w:shd w:val="clear" w:color="auto" w:fill="EBF1DE" w:themeFill="accent3" w:themeFillTint="32"/>
          </w:tcPr>
          <w:p>
            <w:pPr>
              <w:pStyle w:val="30"/>
              <w:spacing w:before="60" w:after="60" w:line="240" w:lineRule="auto"/>
              <w:ind w:left="0"/>
              <w:contextualSpacing w:val="0"/>
              <w:jc w:val="both"/>
              <w:rPr>
                <w:rFonts w:ascii="Arial" w:hAnsi="Arial" w:cs="Arial"/>
                <w:b/>
                <w:i/>
                <w:iCs/>
                <w:color w:val="FF0000"/>
                <w:sz w:val="15"/>
                <w:szCs w:val="15"/>
              </w:rPr>
            </w:pPr>
          </w:p>
        </w:tc>
        <w:tc>
          <w:tcPr>
            <w:tcW w:w="1445" w:type="dxa"/>
            <w:shd w:val="clear" w:color="auto" w:fill="EBF1DE" w:themeFill="accent3" w:themeFillTint="32"/>
          </w:tcPr>
          <w:p>
            <w:pPr>
              <w:pStyle w:val="30"/>
              <w:spacing w:before="60" w:after="60" w:line="240" w:lineRule="auto"/>
              <w:ind w:left="0"/>
              <w:contextualSpacing w:val="0"/>
              <w:jc w:val="both"/>
              <w:rPr>
                <w:rFonts w:ascii="Arial" w:hAnsi="Arial" w:cs="Arial"/>
                <w:b/>
                <w:i/>
                <w:iCs/>
                <w:color w:val="FF0000"/>
                <w:sz w:val="15"/>
                <w:szCs w:val="15"/>
              </w:rPr>
            </w:pPr>
          </w:p>
        </w:tc>
        <w:tc>
          <w:tcPr>
            <w:tcW w:w="1387" w:type="dxa"/>
            <w:shd w:val="clear" w:color="auto" w:fill="EBF1DE" w:themeFill="accent3" w:themeFillTint="32"/>
          </w:tcPr>
          <w:p>
            <w:pPr>
              <w:pStyle w:val="30"/>
              <w:spacing w:before="60" w:after="60" w:line="240" w:lineRule="auto"/>
              <w:ind w:left="0"/>
              <w:contextualSpacing w:val="0"/>
              <w:jc w:val="both"/>
              <w:rPr>
                <w:rFonts w:ascii="Arial" w:hAnsi="Arial" w:cs="Arial"/>
                <w:b/>
                <w:i/>
                <w:iCs/>
                <w:color w:val="FF0000"/>
                <w:sz w:val="15"/>
                <w:szCs w:val="15"/>
              </w:rPr>
            </w:pPr>
          </w:p>
        </w:tc>
        <w:tc>
          <w:tcPr>
            <w:tcW w:w="1294" w:type="dxa"/>
            <w:shd w:val="clear" w:color="auto" w:fill="EBF1DE" w:themeFill="accent3" w:themeFillTint="32"/>
          </w:tcPr>
          <w:p>
            <w:pPr>
              <w:pStyle w:val="30"/>
              <w:spacing w:before="60" w:after="60" w:line="240" w:lineRule="auto"/>
              <w:ind w:left="0"/>
              <w:contextualSpacing w:val="0"/>
              <w:jc w:val="both"/>
              <w:rPr>
                <w:rFonts w:ascii="Arial" w:hAnsi="Arial" w:cs="Arial"/>
                <w:b/>
                <w:i/>
                <w:iCs/>
                <w:color w:val="FF0000"/>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1</w:t>
            </w:r>
          </w:p>
        </w:tc>
        <w:tc>
          <w:tcPr>
            <w:tcW w:w="1222" w:type="dxa"/>
          </w:tcPr>
          <w:p>
            <w:pPr>
              <w:rPr>
                <w:rFonts w:ascii="Arial" w:hAnsi="Arial" w:eastAsia="Times New Roman" w:cs="Arial"/>
                <w:sz w:val="15"/>
                <w:szCs w:val="15"/>
              </w:rPr>
            </w:pPr>
            <w:r>
              <w:rPr>
                <w:rFonts w:ascii="Arial" w:hAnsi="Arial" w:eastAsia="Times New Roman" w:cs="Arial"/>
                <w:sz w:val="15"/>
                <w:szCs w:val="15"/>
              </w:rPr>
              <w:t>Penyediaan Jasa Surat Menyurat</w:t>
            </w:r>
          </w:p>
        </w:tc>
        <w:tc>
          <w:tcPr>
            <w:tcW w:w="1276"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12 bulan</w:t>
            </w:r>
          </w:p>
        </w:tc>
        <w:tc>
          <w:tcPr>
            <w:tcW w:w="1293"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12 bulan</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6.150.000,00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5.846.432,00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95,06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2</w:t>
            </w:r>
          </w:p>
        </w:tc>
        <w:tc>
          <w:tcPr>
            <w:tcW w:w="1222" w:type="dxa"/>
          </w:tcPr>
          <w:p>
            <w:pPr>
              <w:pStyle w:val="30"/>
              <w:spacing w:before="60" w:after="60" w:line="240" w:lineRule="auto"/>
              <w:ind w:left="0"/>
              <w:contextualSpacing w:val="0"/>
              <w:rPr>
                <w:rFonts w:ascii="Arial" w:hAnsi="Arial" w:cs="Arial"/>
                <w:bCs/>
                <w:sz w:val="15"/>
                <w:szCs w:val="15"/>
              </w:rPr>
            </w:pPr>
            <w:r>
              <w:rPr>
                <w:rFonts w:ascii="Arial" w:hAnsi="Arial" w:eastAsia="Times New Roman" w:cs="Arial"/>
                <w:sz w:val="15"/>
                <w:szCs w:val="15"/>
              </w:rPr>
              <w:t>Penyediaan Jasa Komunikasi Sumber Daya Air dan Listrik</w:t>
            </w:r>
          </w:p>
        </w:tc>
        <w:tc>
          <w:tcPr>
            <w:tcW w:w="1276"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12 bulan</w:t>
            </w:r>
          </w:p>
        </w:tc>
        <w:tc>
          <w:tcPr>
            <w:tcW w:w="1293"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12 bulan</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3.048.392.000,00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2.766.705.151,00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3</w:t>
            </w:r>
          </w:p>
        </w:tc>
        <w:tc>
          <w:tcPr>
            <w:tcW w:w="1222" w:type="dxa"/>
          </w:tcPr>
          <w:p>
            <w:pPr>
              <w:pStyle w:val="30"/>
              <w:spacing w:before="60" w:after="60" w:line="240" w:lineRule="auto"/>
              <w:ind w:left="0"/>
              <w:contextualSpacing w:val="0"/>
              <w:rPr>
                <w:rFonts w:ascii="Arial" w:hAnsi="Arial" w:cs="Arial"/>
                <w:bCs/>
                <w:sz w:val="15"/>
                <w:szCs w:val="15"/>
              </w:rPr>
            </w:pPr>
            <w:r>
              <w:rPr>
                <w:rFonts w:ascii="Arial" w:hAnsi="Arial" w:eastAsia="Times New Roman" w:cs="Arial"/>
                <w:sz w:val="15"/>
                <w:szCs w:val="15"/>
              </w:rPr>
              <w:t>Penyediaan Jasa Kebersihan, Pengamanan dan Sopir Kantor</w:t>
            </w:r>
          </w:p>
        </w:tc>
        <w:tc>
          <w:tcPr>
            <w:tcW w:w="1276"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Penyediaan :</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pengaman kantor 41 orang:</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petugas kebersihan 57 orang;</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sopir 27 orang</w:t>
            </w:r>
          </w:p>
        </w:tc>
        <w:tc>
          <w:tcPr>
            <w:tcW w:w="1293"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Tersedianya :</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pengaman kantor 41 orang:</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petugas kebersihan 57 orang;</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sopir 27 orang</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57.768.000,00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57.761.000,00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4</w:t>
            </w:r>
          </w:p>
        </w:tc>
        <w:tc>
          <w:tcPr>
            <w:tcW w:w="1222" w:type="dxa"/>
          </w:tcPr>
          <w:p>
            <w:pPr>
              <w:rPr>
                <w:rFonts w:ascii="Arial" w:hAnsi="Arial" w:eastAsia="Times New Roman" w:cs="Arial"/>
                <w:sz w:val="15"/>
                <w:szCs w:val="15"/>
              </w:rPr>
            </w:pPr>
            <w:r>
              <w:rPr>
                <w:rFonts w:ascii="Arial" w:hAnsi="Arial" w:eastAsia="Times New Roman" w:cs="Arial"/>
                <w:sz w:val="15"/>
                <w:szCs w:val="15"/>
              </w:rPr>
              <w:t>Penyediaan Jasa Jaminan Barang Milik Daerah</w:t>
            </w:r>
          </w:p>
        </w:tc>
        <w:tc>
          <w:tcPr>
            <w:tcW w:w="1276"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eastAsia="Times New Roman" w:cs="Arial"/>
                <w:bCs/>
                <w:sz w:val="15"/>
                <w:szCs w:val="15"/>
              </w:rPr>
            </w:pPr>
            <w:r>
              <w:rPr>
                <w:rFonts w:ascii="Arial" w:hAnsi="Arial" w:cs="Arial"/>
                <w:bCs/>
                <w:sz w:val="15"/>
                <w:szCs w:val="15"/>
              </w:rPr>
              <w:t>1 tahun</w:t>
            </w:r>
          </w:p>
        </w:tc>
        <w:tc>
          <w:tcPr>
            <w:tcW w:w="1293" w:type="dxa"/>
          </w:tcPr>
          <w:p>
            <w:pPr>
              <w:pStyle w:val="30"/>
              <w:spacing w:before="60" w:after="60" w:line="240" w:lineRule="auto"/>
              <w:ind w:left="0"/>
              <w:contextualSpacing w:val="0"/>
              <w:rPr>
                <w:rFonts w:ascii="Arial" w:hAnsi="Arial" w:eastAsia="Times New Roman" w:cs="Arial"/>
                <w:bCs/>
                <w:sz w:val="15"/>
                <w:szCs w:val="15"/>
              </w:rPr>
            </w:pPr>
            <w:r>
              <w:rPr>
                <w:rFonts w:ascii="Arial" w:hAnsi="Arial" w:cs="Arial"/>
                <w:bCs/>
                <w:sz w:val="15"/>
                <w:szCs w:val="15"/>
              </w:rPr>
              <w:t>1 tahun</w:t>
            </w:r>
          </w:p>
        </w:tc>
        <w:tc>
          <w:tcPr>
            <w:tcW w:w="1028" w:type="dxa"/>
          </w:tcPr>
          <w:p>
            <w:pPr>
              <w:pStyle w:val="30"/>
              <w:spacing w:before="60" w:after="60" w:line="240" w:lineRule="auto"/>
              <w:ind w:left="0"/>
              <w:contextualSpacing w:val="0"/>
              <w:jc w:val="both"/>
              <w:rPr>
                <w:rFonts w:ascii="Arial" w:hAnsi="Arial" w:eastAsia="Times New Roman"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eastAsia="Times New Roman" w:cs="Arial"/>
                <w:bCs/>
                <w:sz w:val="15"/>
                <w:szCs w:val="15"/>
              </w:rPr>
            </w:pPr>
            <w:r>
              <w:rPr>
                <w:rFonts w:ascii="Arial" w:hAnsi="Arial" w:cs="Arial"/>
                <w:bCs/>
                <w:sz w:val="15"/>
                <w:szCs w:val="15"/>
              </w:rPr>
              <w:t>3.000.000,00</w:t>
            </w:r>
          </w:p>
        </w:tc>
        <w:tc>
          <w:tcPr>
            <w:tcW w:w="1387" w:type="dxa"/>
          </w:tcPr>
          <w:p>
            <w:pPr>
              <w:pStyle w:val="30"/>
              <w:spacing w:before="60" w:after="60" w:line="240" w:lineRule="auto"/>
              <w:ind w:left="0"/>
              <w:contextualSpacing w:val="0"/>
              <w:jc w:val="both"/>
              <w:rPr>
                <w:rFonts w:ascii="Arial" w:hAnsi="Arial" w:eastAsia="Times New Roman" w:cs="Arial"/>
                <w:bCs/>
                <w:sz w:val="15"/>
                <w:szCs w:val="15"/>
              </w:rPr>
            </w:pPr>
            <w:r>
              <w:rPr>
                <w:rFonts w:ascii="Arial" w:hAnsi="Arial" w:cs="Arial"/>
                <w:bCs/>
                <w:sz w:val="15"/>
                <w:szCs w:val="15"/>
              </w:rPr>
              <w:t>600.000,00</w:t>
            </w:r>
          </w:p>
        </w:tc>
        <w:tc>
          <w:tcPr>
            <w:tcW w:w="1294" w:type="dxa"/>
          </w:tcPr>
          <w:p>
            <w:pPr>
              <w:pStyle w:val="30"/>
              <w:spacing w:before="60" w:after="60" w:line="240" w:lineRule="auto"/>
              <w:ind w:left="0"/>
              <w:contextualSpacing w:val="0"/>
              <w:jc w:val="both"/>
              <w:rPr>
                <w:rFonts w:ascii="Arial" w:hAnsi="Arial" w:eastAsia="Times New Roman" w:cs="Arial"/>
                <w:bCs/>
                <w:sz w:val="15"/>
                <w:szCs w:val="15"/>
              </w:rPr>
            </w:pPr>
            <w:r>
              <w:rPr>
                <w:rFonts w:ascii="Arial" w:hAnsi="Arial" w:cs="Arial"/>
                <w:bCs/>
                <w:sz w:val="15"/>
                <w:szCs w:val="15"/>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5</w:t>
            </w:r>
          </w:p>
        </w:tc>
        <w:tc>
          <w:tcPr>
            <w:tcW w:w="1222" w:type="dxa"/>
          </w:tcPr>
          <w:p>
            <w:pPr>
              <w:rPr>
                <w:rFonts w:ascii="Arial" w:hAnsi="Arial" w:eastAsia="Times New Roman" w:cs="Arial"/>
                <w:sz w:val="15"/>
                <w:szCs w:val="15"/>
              </w:rPr>
            </w:pPr>
            <w:r>
              <w:rPr>
                <w:rFonts w:ascii="Arial" w:hAnsi="Arial" w:eastAsia="Times New Roman" w:cs="Arial"/>
                <w:sz w:val="15"/>
                <w:szCs w:val="15"/>
              </w:rPr>
              <w:t>Penyediaan Alat Tulis Kantor</w:t>
            </w:r>
          </w:p>
        </w:tc>
        <w:tc>
          <w:tcPr>
            <w:tcW w:w="1276"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12 bulan</w:t>
            </w:r>
          </w:p>
        </w:tc>
        <w:tc>
          <w:tcPr>
            <w:tcW w:w="1293"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12 bulan</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516.960.000,00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515.120.000,00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99,64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6</w:t>
            </w:r>
          </w:p>
        </w:tc>
        <w:tc>
          <w:tcPr>
            <w:tcW w:w="1222" w:type="dxa"/>
          </w:tcPr>
          <w:p>
            <w:pPr>
              <w:rPr>
                <w:rFonts w:ascii="Arial" w:hAnsi="Arial" w:eastAsia="Times New Roman" w:cs="Arial"/>
                <w:sz w:val="15"/>
                <w:szCs w:val="15"/>
              </w:rPr>
            </w:pPr>
            <w:r>
              <w:rPr>
                <w:rFonts w:ascii="Arial" w:hAnsi="Arial" w:eastAsia="Times New Roman" w:cs="Arial"/>
                <w:sz w:val="15"/>
                <w:szCs w:val="15"/>
              </w:rPr>
              <w:t>Penyediaan Barang Cetakan dan Penggandaan</w:t>
            </w:r>
          </w:p>
        </w:tc>
        <w:tc>
          <w:tcPr>
            <w:tcW w:w="1276"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eastAsia="Times New Roman" w:cs="Arial"/>
                <w:bCs/>
                <w:sz w:val="15"/>
                <w:szCs w:val="15"/>
              </w:rPr>
            </w:pPr>
            <w:r>
              <w:rPr>
                <w:rFonts w:ascii="Arial" w:hAnsi="Arial" w:cs="Arial"/>
                <w:bCs/>
                <w:sz w:val="15"/>
                <w:szCs w:val="15"/>
              </w:rPr>
              <w:t>12 bulan</w:t>
            </w:r>
          </w:p>
        </w:tc>
        <w:tc>
          <w:tcPr>
            <w:tcW w:w="1293" w:type="dxa"/>
          </w:tcPr>
          <w:p>
            <w:pPr>
              <w:pStyle w:val="30"/>
              <w:spacing w:before="60" w:after="60" w:line="240" w:lineRule="auto"/>
              <w:ind w:left="0"/>
              <w:contextualSpacing w:val="0"/>
              <w:rPr>
                <w:rFonts w:ascii="Arial" w:hAnsi="Arial" w:eastAsia="Times New Roman" w:cs="Arial"/>
                <w:bCs/>
                <w:sz w:val="15"/>
                <w:szCs w:val="15"/>
              </w:rPr>
            </w:pPr>
            <w:r>
              <w:rPr>
                <w:rFonts w:ascii="Arial" w:hAnsi="Arial" w:cs="Arial"/>
                <w:bCs/>
                <w:sz w:val="15"/>
                <w:szCs w:val="15"/>
              </w:rPr>
              <w:t>12 bulan</w:t>
            </w:r>
          </w:p>
        </w:tc>
        <w:tc>
          <w:tcPr>
            <w:tcW w:w="1028" w:type="dxa"/>
          </w:tcPr>
          <w:p>
            <w:pPr>
              <w:pStyle w:val="30"/>
              <w:spacing w:before="60" w:after="60" w:line="240" w:lineRule="auto"/>
              <w:ind w:left="0"/>
              <w:contextualSpacing w:val="0"/>
              <w:jc w:val="both"/>
              <w:rPr>
                <w:rFonts w:ascii="Arial" w:hAnsi="Arial" w:eastAsia="Times New Roman"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836.869.000,00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830.435.600,00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99,23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7</w:t>
            </w:r>
          </w:p>
        </w:tc>
        <w:tc>
          <w:tcPr>
            <w:tcW w:w="1222" w:type="dxa"/>
          </w:tcPr>
          <w:p>
            <w:pPr>
              <w:pStyle w:val="30"/>
              <w:spacing w:before="60" w:after="60" w:line="240" w:lineRule="auto"/>
              <w:ind w:left="0"/>
              <w:contextualSpacing w:val="0"/>
              <w:rPr>
                <w:rFonts w:ascii="Arial" w:hAnsi="Arial" w:cs="Arial"/>
                <w:bCs/>
                <w:sz w:val="15"/>
                <w:szCs w:val="15"/>
              </w:rPr>
            </w:pPr>
            <w:r>
              <w:rPr>
                <w:rFonts w:ascii="Arial" w:hAnsi="Arial" w:eastAsia="Times New Roman" w:cs="Arial"/>
                <w:sz w:val="15"/>
                <w:szCs w:val="15"/>
              </w:rPr>
              <w:t>Penyediaan Komponen Instalasi Listrik/Penerangan Bangunan Kantor</w:t>
            </w:r>
          </w:p>
        </w:tc>
        <w:tc>
          <w:tcPr>
            <w:tcW w:w="1276"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eastAsia="Times New Roman" w:cs="Arial"/>
                <w:bCs/>
                <w:sz w:val="15"/>
                <w:szCs w:val="15"/>
              </w:rPr>
            </w:pPr>
            <w:r>
              <w:rPr>
                <w:rFonts w:ascii="Arial" w:hAnsi="Arial" w:cs="Arial"/>
                <w:bCs/>
                <w:sz w:val="15"/>
                <w:szCs w:val="15"/>
              </w:rPr>
              <w:t>12 bulan</w:t>
            </w:r>
          </w:p>
        </w:tc>
        <w:tc>
          <w:tcPr>
            <w:tcW w:w="1293" w:type="dxa"/>
          </w:tcPr>
          <w:p>
            <w:pPr>
              <w:pStyle w:val="30"/>
              <w:spacing w:before="60" w:after="60" w:line="240" w:lineRule="auto"/>
              <w:ind w:left="0"/>
              <w:contextualSpacing w:val="0"/>
              <w:rPr>
                <w:rFonts w:ascii="Arial" w:hAnsi="Arial" w:eastAsia="Times New Roman" w:cs="Arial"/>
                <w:bCs/>
                <w:sz w:val="15"/>
                <w:szCs w:val="15"/>
              </w:rPr>
            </w:pPr>
            <w:r>
              <w:rPr>
                <w:rFonts w:ascii="Arial" w:hAnsi="Arial" w:cs="Arial"/>
                <w:bCs/>
                <w:sz w:val="15"/>
                <w:szCs w:val="15"/>
              </w:rPr>
              <w:t>12 bulan</w:t>
            </w:r>
          </w:p>
        </w:tc>
        <w:tc>
          <w:tcPr>
            <w:tcW w:w="1028" w:type="dxa"/>
          </w:tcPr>
          <w:p>
            <w:pPr>
              <w:pStyle w:val="30"/>
              <w:spacing w:before="60" w:after="60" w:line="240" w:lineRule="auto"/>
              <w:ind w:left="0"/>
              <w:contextualSpacing w:val="0"/>
              <w:jc w:val="both"/>
              <w:rPr>
                <w:rFonts w:ascii="Arial" w:hAnsi="Arial" w:eastAsia="Times New Roman"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75.947.600,00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74.656.600,00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98,30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8</w:t>
            </w:r>
          </w:p>
        </w:tc>
        <w:tc>
          <w:tcPr>
            <w:tcW w:w="1222" w:type="dxa"/>
          </w:tcPr>
          <w:p>
            <w:pPr>
              <w:rPr>
                <w:rFonts w:ascii="Arial" w:hAnsi="Arial" w:eastAsia="Times New Roman" w:cs="Arial"/>
                <w:sz w:val="15"/>
                <w:szCs w:val="15"/>
              </w:rPr>
            </w:pPr>
            <w:r>
              <w:rPr>
                <w:rFonts w:ascii="Arial" w:hAnsi="Arial" w:eastAsia="Times New Roman" w:cs="Arial"/>
                <w:sz w:val="15"/>
                <w:szCs w:val="15"/>
              </w:rPr>
              <w:t>Penyediaan Bahan Bacaan dan Peraturan Perundang-Undangan</w:t>
            </w:r>
          </w:p>
        </w:tc>
        <w:tc>
          <w:tcPr>
            <w:tcW w:w="1276"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Tersedianya :</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koran 432 eks;</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warta perundang-undangan 12 eks</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majalah 24 eks</w:t>
            </w:r>
          </w:p>
        </w:tc>
        <w:tc>
          <w:tcPr>
            <w:tcW w:w="1293"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Tersedianya :</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koran 432 eks;</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warta perundang-undangan 12 eks</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majalah 24 eks</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57.768.000,00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57.761.000,00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9</w:t>
            </w:r>
          </w:p>
        </w:tc>
        <w:tc>
          <w:tcPr>
            <w:tcW w:w="1222" w:type="dxa"/>
          </w:tcPr>
          <w:p>
            <w:pPr>
              <w:pStyle w:val="30"/>
              <w:spacing w:before="60" w:after="60" w:line="240" w:lineRule="auto"/>
              <w:ind w:left="0"/>
              <w:contextualSpacing w:val="0"/>
              <w:rPr>
                <w:rFonts w:ascii="Arial" w:hAnsi="Arial" w:cs="Arial"/>
                <w:bCs/>
                <w:sz w:val="15"/>
                <w:szCs w:val="15"/>
              </w:rPr>
            </w:pPr>
            <w:r>
              <w:rPr>
                <w:rFonts w:ascii="Arial" w:hAnsi="Arial" w:eastAsia="Times New Roman" w:cs="Arial"/>
                <w:sz w:val="15"/>
                <w:szCs w:val="15"/>
              </w:rPr>
              <w:t>Rapat-rapat Koordinasi dan Konsultasi Dalam dan Luar Daerah</w:t>
            </w:r>
          </w:p>
        </w:tc>
        <w:tc>
          <w:tcPr>
            <w:tcW w:w="1276"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Terlaksananya koordinasi dan konsultasi ke</w:t>
            </w:r>
          </w:p>
          <w:p>
            <w:pPr>
              <w:pStyle w:val="30"/>
              <w:spacing w:before="60" w:after="60" w:line="240" w:lineRule="auto"/>
              <w:ind w:left="75" w:hanging="75" w:hangingChars="50"/>
              <w:contextualSpacing w:val="0"/>
              <w:rPr>
                <w:rFonts w:ascii="Arial" w:hAnsi="Arial" w:cs="Arial"/>
                <w:bCs/>
                <w:sz w:val="15"/>
                <w:szCs w:val="15"/>
              </w:rPr>
            </w:pPr>
            <w:r>
              <w:rPr>
                <w:rFonts w:ascii="Arial" w:hAnsi="Arial" w:cs="Arial"/>
                <w:bCs/>
                <w:sz w:val="15"/>
                <w:szCs w:val="15"/>
              </w:rPr>
              <w:t>- dalam daerah 24 eks</w:t>
            </w:r>
          </w:p>
          <w:p>
            <w:pPr>
              <w:pStyle w:val="30"/>
              <w:spacing w:before="60" w:after="60" w:line="240" w:lineRule="auto"/>
              <w:ind w:left="75" w:hanging="75" w:hangingChars="50"/>
              <w:contextualSpacing w:val="0"/>
              <w:rPr>
                <w:rFonts w:ascii="Arial" w:hAnsi="Arial" w:cs="Arial"/>
                <w:bCs/>
                <w:sz w:val="15"/>
                <w:szCs w:val="15"/>
              </w:rPr>
            </w:pPr>
            <w:r>
              <w:rPr>
                <w:rFonts w:ascii="Arial" w:hAnsi="Arial" w:cs="Arial"/>
                <w:bCs/>
                <w:sz w:val="15"/>
                <w:szCs w:val="15"/>
              </w:rPr>
              <w:t>- luar daerah 44 kali</w:t>
            </w:r>
          </w:p>
        </w:tc>
        <w:tc>
          <w:tcPr>
            <w:tcW w:w="1293"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Terlaksananya koordinasi dan konsultasi ke</w:t>
            </w:r>
          </w:p>
          <w:p>
            <w:pPr>
              <w:pStyle w:val="30"/>
              <w:spacing w:before="60" w:after="60" w:line="240" w:lineRule="auto"/>
              <w:ind w:left="75" w:hanging="75" w:hangingChars="50"/>
              <w:contextualSpacing w:val="0"/>
              <w:rPr>
                <w:rFonts w:ascii="Arial" w:hAnsi="Arial" w:cs="Arial"/>
                <w:bCs/>
                <w:sz w:val="15"/>
                <w:szCs w:val="15"/>
              </w:rPr>
            </w:pPr>
            <w:r>
              <w:rPr>
                <w:rFonts w:ascii="Arial" w:hAnsi="Arial" w:cs="Arial"/>
                <w:bCs/>
                <w:sz w:val="15"/>
                <w:szCs w:val="15"/>
              </w:rPr>
              <w:t>- dalam daerah 24 eks</w:t>
            </w:r>
          </w:p>
          <w:p>
            <w:pPr>
              <w:pStyle w:val="30"/>
              <w:spacing w:before="60" w:after="60" w:line="240" w:lineRule="auto"/>
              <w:ind w:left="75" w:hanging="75" w:hangingChars="50"/>
              <w:contextualSpacing w:val="0"/>
              <w:rPr>
                <w:rFonts w:ascii="Arial" w:hAnsi="Arial" w:cs="Arial"/>
                <w:bCs/>
                <w:sz w:val="15"/>
                <w:szCs w:val="15"/>
              </w:rPr>
            </w:pPr>
            <w:r>
              <w:rPr>
                <w:rFonts w:ascii="Arial" w:hAnsi="Arial" w:cs="Arial"/>
                <w:bCs/>
                <w:sz w:val="15"/>
                <w:szCs w:val="15"/>
              </w:rPr>
              <w:t>- luar daerah 44 kali</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1.414.567.252,00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1.249.860.134,00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88,36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10</w:t>
            </w:r>
          </w:p>
        </w:tc>
        <w:tc>
          <w:tcPr>
            <w:tcW w:w="1222" w:type="dxa"/>
          </w:tcPr>
          <w:p>
            <w:pPr>
              <w:rPr>
                <w:rFonts w:ascii="Arial" w:hAnsi="Arial" w:eastAsia="Times New Roman" w:cs="Arial"/>
                <w:sz w:val="15"/>
                <w:szCs w:val="15"/>
              </w:rPr>
            </w:pPr>
            <w:r>
              <w:rPr>
                <w:rFonts w:ascii="Arial" w:hAnsi="Arial" w:eastAsia="Times New Roman" w:cs="Arial"/>
                <w:sz w:val="15"/>
                <w:szCs w:val="15"/>
              </w:rPr>
              <w:t>Penyediaan Makanan dan Minuman</w:t>
            </w:r>
          </w:p>
        </w:tc>
        <w:tc>
          <w:tcPr>
            <w:tcW w:w="1276"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Tersedianya:</w:t>
            </w:r>
          </w:p>
          <w:p>
            <w:pPr>
              <w:pStyle w:val="30"/>
              <w:spacing w:before="60" w:after="60" w:line="240" w:lineRule="auto"/>
              <w:ind w:left="75" w:hanging="75" w:hangingChars="50"/>
              <w:contextualSpacing w:val="0"/>
              <w:rPr>
                <w:rFonts w:ascii="Arial" w:hAnsi="Arial" w:cs="Arial"/>
                <w:bCs/>
                <w:sz w:val="15"/>
                <w:szCs w:val="15"/>
              </w:rPr>
            </w:pPr>
            <w:r>
              <w:rPr>
                <w:rFonts w:ascii="Arial" w:hAnsi="Arial" w:cs="Arial"/>
                <w:bCs/>
                <w:sz w:val="15"/>
                <w:szCs w:val="15"/>
              </w:rPr>
              <w:t xml:space="preserve">- makan rapat  2380 kotak </w:t>
            </w:r>
          </w:p>
          <w:p>
            <w:pPr>
              <w:pStyle w:val="30"/>
              <w:spacing w:before="60" w:after="60" w:line="240" w:lineRule="auto"/>
              <w:ind w:left="75" w:hanging="75" w:hangingChars="50"/>
              <w:contextualSpacing w:val="0"/>
              <w:rPr>
                <w:rFonts w:ascii="Arial" w:hAnsi="Arial" w:cs="Arial"/>
                <w:bCs/>
                <w:sz w:val="15"/>
                <w:szCs w:val="15"/>
              </w:rPr>
            </w:pPr>
            <w:r>
              <w:rPr>
                <w:rFonts w:ascii="Arial" w:hAnsi="Arial" w:cs="Arial"/>
                <w:bCs/>
                <w:sz w:val="15"/>
                <w:szCs w:val="15"/>
              </w:rPr>
              <w:t>- snak rapat 2380 kotak</w:t>
            </w:r>
          </w:p>
        </w:tc>
        <w:tc>
          <w:tcPr>
            <w:tcW w:w="1293"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Tersedianya:</w:t>
            </w:r>
          </w:p>
          <w:p>
            <w:pPr>
              <w:pStyle w:val="30"/>
              <w:spacing w:before="60" w:after="60" w:line="240" w:lineRule="auto"/>
              <w:ind w:left="75" w:hanging="75" w:hangingChars="50"/>
              <w:contextualSpacing w:val="0"/>
              <w:rPr>
                <w:rFonts w:ascii="Arial" w:hAnsi="Arial" w:cs="Arial"/>
                <w:bCs/>
                <w:sz w:val="15"/>
                <w:szCs w:val="15"/>
              </w:rPr>
            </w:pPr>
            <w:r>
              <w:rPr>
                <w:rFonts w:ascii="Arial" w:hAnsi="Arial" w:cs="Arial"/>
                <w:bCs/>
                <w:sz w:val="15"/>
                <w:szCs w:val="15"/>
              </w:rPr>
              <w:t xml:space="preserve">- makan rapat  2380 kotak </w:t>
            </w:r>
          </w:p>
          <w:p>
            <w:pPr>
              <w:pStyle w:val="30"/>
              <w:spacing w:before="60" w:after="60" w:line="240" w:lineRule="auto"/>
              <w:ind w:left="75" w:hanging="75" w:hangingChars="50"/>
              <w:contextualSpacing w:val="0"/>
              <w:rPr>
                <w:rFonts w:ascii="Arial" w:hAnsi="Arial" w:cs="Arial"/>
                <w:bCs/>
                <w:sz w:val="15"/>
                <w:szCs w:val="15"/>
              </w:rPr>
            </w:pPr>
            <w:r>
              <w:rPr>
                <w:rFonts w:ascii="Arial" w:hAnsi="Arial" w:cs="Arial"/>
                <w:bCs/>
                <w:sz w:val="15"/>
                <w:szCs w:val="15"/>
              </w:rPr>
              <w:t>- snak rapat 2380 kotak</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118.144.000,00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100.793.800,00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85,31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11</w:t>
            </w:r>
          </w:p>
        </w:tc>
        <w:tc>
          <w:tcPr>
            <w:tcW w:w="1222" w:type="dxa"/>
          </w:tcPr>
          <w:p>
            <w:pPr>
              <w:rPr>
                <w:rFonts w:ascii="Arial" w:hAnsi="Arial" w:eastAsia="Times New Roman" w:cs="Arial"/>
                <w:sz w:val="15"/>
                <w:szCs w:val="15"/>
              </w:rPr>
            </w:pPr>
            <w:r>
              <w:rPr>
                <w:rFonts w:ascii="Arial" w:hAnsi="Arial" w:eastAsia="Times New Roman" w:cs="Arial"/>
                <w:sz w:val="15"/>
                <w:szCs w:val="15"/>
              </w:rPr>
              <w:t xml:space="preserve">Penyediaan </w:t>
            </w:r>
            <w:r>
              <w:rPr>
                <w:rFonts w:ascii="Arial" w:hAnsi="Arial" w:cs="Arial"/>
                <w:sz w:val="15"/>
                <w:szCs w:val="15"/>
              </w:rPr>
              <w:t>Jasa Informasi, Dokumentasi dan Publikasi</w:t>
            </w:r>
          </w:p>
        </w:tc>
        <w:tc>
          <w:tcPr>
            <w:tcW w:w="1276"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Terpenuhinya jasa dokumentasi dan informasi berupa publikasi sebanyak 4 kali</w:t>
            </w:r>
          </w:p>
        </w:tc>
        <w:tc>
          <w:tcPr>
            <w:tcW w:w="1293"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Terpenuhinya jasa dokumentasi dan informasi berupa publikasi sebanyak 4 kali</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10.000.000,00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2.500.000,00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25,00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12</w:t>
            </w:r>
          </w:p>
        </w:tc>
        <w:tc>
          <w:tcPr>
            <w:tcW w:w="1222" w:type="dxa"/>
          </w:tcPr>
          <w:p>
            <w:pPr>
              <w:rPr>
                <w:rFonts w:ascii="Arial" w:hAnsi="Arial" w:eastAsia="Times New Roman" w:cs="Arial"/>
                <w:sz w:val="15"/>
                <w:szCs w:val="15"/>
              </w:rPr>
            </w:pPr>
            <w:r>
              <w:rPr>
                <w:rFonts w:ascii="Arial" w:hAnsi="Arial" w:eastAsia="Times New Roman" w:cs="Arial"/>
                <w:sz w:val="15"/>
                <w:szCs w:val="15"/>
              </w:rPr>
              <w:t>Penyediaan Jasa Pembinaan Fisik dan Mental Aparatur</w:t>
            </w:r>
          </w:p>
        </w:tc>
        <w:tc>
          <w:tcPr>
            <w:tcW w:w="1276"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Terlaksananya pembinaan fisik dan mental aparatur sebanyak 33 kali</w:t>
            </w:r>
          </w:p>
        </w:tc>
        <w:tc>
          <w:tcPr>
            <w:tcW w:w="1293"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Terlaksananya pembinaan fisik dan mental aparatur sebanyak 33 kali</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137.400.000,00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129.685.797,00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94,39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shd w:val="clear" w:color="auto" w:fill="EBF1DE" w:themeFill="accent3" w:themeFillTint="32"/>
          </w:tcPr>
          <w:p>
            <w:pPr>
              <w:pStyle w:val="30"/>
              <w:spacing w:before="60" w:after="60" w:line="240" w:lineRule="auto"/>
              <w:ind w:left="150" w:right="-105"/>
              <w:contextualSpacing w:val="0"/>
              <w:jc w:val="both"/>
              <w:rPr>
                <w:rFonts w:ascii="Arial" w:hAnsi="Arial" w:cs="Arial"/>
                <w:b/>
                <w:i/>
                <w:iCs/>
                <w:sz w:val="15"/>
                <w:szCs w:val="15"/>
              </w:rPr>
            </w:pPr>
            <w:r>
              <w:rPr>
                <w:rFonts w:ascii="Arial" w:hAnsi="Arial" w:cs="Arial"/>
                <w:b/>
                <w:i/>
                <w:iCs/>
                <w:sz w:val="15"/>
                <w:szCs w:val="15"/>
              </w:rPr>
              <w:t>II</w:t>
            </w:r>
          </w:p>
        </w:tc>
        <w:tc>
          <w:tcPr>
            <w:tcW w:w="1222" w:type="dxa"/>
            <w:shd w:val="clear" w:color="auto" w:fill="EBF1DE" w:themeFill="accent3" w:themeFillTint="32"/>
          </w:tcPr>
          <w:p>
            <w:pPr>
              <w:pStyle w:val="30"/>
              <w:spacing w:before="60" w:after="60" w:line="240" w:lineRule="auto"/>
              <w:ind w:left="0"/>
              <w:contextualSpacing w:val="0"/>
              <w:rPr>
                <w:rFonts w:ascii="Arial" w:hAnsi="Arial" w:cs="Arial"/>
                <w:b/>
                <w:i/>
                <w:iCs/>
                <w:sz w:val="15"/>
                <w:szCs w:val="15"/>
              </w:rPr>
            </w:pPr>
            <w:r>
              <w:rPr>
                <w:rFonts w:ascii="Arial" w:hAnsi="Arial" w:cs="Arial"/>
                <w:b/>
                <w:i/>
                <w:iCs/>
                <w:sz w:val="15"/>
                <w:szCs w:val="15"/>
              </w:rPr>
              <w:t>Program Peningkatan Sarana dan Prasarana Aparatur</w:t>
            </w:r>
          </w:p>
        </w:tc>
        <w:tc>
          <w:tcPr>
            <w:tcW w:w="1276"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r>
              <w:rPr>
                <w:rFonts w:ascii="Arial" w:hAnsi="Arial" w:cs="Arial"/>
                <w:b/>
                <w:i/>
                <w:iCs/>
                <w:sz w:val="15"/>
                <w:szCs w:val="15"/>
              </w:rPr>
              <w:t>Kegiatan Penunjang OPD</w:t>
            </w:r>
          </w:p>
        </w:tc>
        <w:tc>
          <w:tcPr>
            <w:tcW w:w="1181" w:type="dxa"/>
            <w:shd w:val="clear" w:color="auto" w:fill="EBF1DE" w:themeFill="accent3" w:themeFillTint="32"/>
          </w:tcPr>
          <w:p>
            <w:pPr>
              <w:pStyle w:val="30"/>
              <w:spacing w:before="60" w:after="60" w:line="240" w:lineRule="auto"/>
              <w:ind w:left="0"/>
              <w:contextualSpacing w:val="0"/>
              <w:rPr>
                <w:rFonts w:ascii="Arial" w:hAnsi="Arial" w:cs="Arial"/>
                <w:b/>
                <w:i/>
                <w:iCs/>
                <w:sz w:val="15"/>
                <w:szCs w:val="15"/>
              </w:rPr>
            </w:pPr>
          </w:p>
        </w:tc>
        <w:tc>
          <w:tcPr>
            <w:tcW w:w="1293" w:type="dxa"/>
            <w:shd w:val="clear" w:color="auto" w:fill="EBF1DE" w:themeFill="accent3" w:themeFillTint="32"/>
          </w:tcPr>
          <w:p>
            <w:pPr>
              <w:pStyle w:val="30"/>
              <w:spacing w:before="60" w:after="60" w:line="240" w:lineRule="auto"/>
              <w:ind w:left="0"/>
              <w:contextualSpacing w:val="0"/>
              <w:rPr>
                <w:rFonts w:ascii="Arial" w:hAnsi="Arial" w:cs="Arial"/>
                <w:b/>
                <w:i/>
                <w:iCs/>
                <w:sz w:val="15"/>
                <w:szCs w:val="15"/>
              </w:rPr>
            </w:pPr>
          </w:p>
        </w:tc>
        <w:tc>
          <w:tcPr>
            <w:tcW w:w="1028"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445"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387"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294"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1</w:t>
            </w:r>
          </w:p>
        </w:tc>
        <w:tc>
          <w:tcPr>
            <w:tcW w:w="1222" w:type="dxa"/>
          </w:tcPr>
          <w:p>
            <w:pPr>
              <w:pStyle w:val="30"/>
              <w:spacing w:before="60" w:after="60" w:line="240" w:lineRule="auto"/>
              <w:ind w:left="0"/>
              <w:contextualSpacing w:val="0"/>
              <w:rPr>
                <w:rFonts w:ascii="Arial" w:hAnsi="Arial" w:eastAsia="Times New Roman" w:cs="Arial"/>
                <w:sz w:val="15"/>
                <w:szCs w:val="15"/>
              </w:rPr>
            </w:pPr>
            <w:r>
              <w:rPr>
                <w:rFonts w:ascii="Arial" w:hAnsi="Arial" w:eastAsia="Times New Roman" w:cs="Arial"/>
                <w:sz w:val="15"/>
                <w:szCs w:val="15"/>
              </w:rPr>
              <w:t xml:space="preserve">Pembangunan Gedung </w:t>
            </w:r>
          </w:p>
        </w:tc>
        <w:tc>
          <w:tcPr>
            <w:tcW w:w="1276"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Terlaksananya pembangunan kantor UPTD/Samsat berupa 1 DED UPTD PPD di Solok</w:t>
            </w:r>
          </w:p>
        </w:tc>
        <w:tc>
          <w:tcPr>
            <w:tcW w:w="1293"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Terlaksananya pembangunan kantor UPTD/Samsat berupa 1 DED UPTD PPD di Solok</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114.101.800,00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113.949.600,00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99,87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2</w:t>
            </w:r>
          </w:p>
        </w:tc>
        <w:tc>
          <w:tcPr>
            <w:tcW w:w="1222" w:type="dxa"/>
          </w:tcPr>
          <w:p>
            <w:pPr>
              <w:pStyle w:val="30"/>
              <w:spacing w:before="60" w:after="60" w:line="240" w:lineRule="auto"/>
              <w:ind w:left="0"/>
              <w:contextualSpacing w:val="0"/>
              <w:rPr>
                <w:rFonts w:ascii="Arial" w:hAnsi="Arial" w:eastAsia="Times New Roman" w:cs="Arial"/>
                <w:sz w:val="15"/>
                <w:szCs w:val="15"/>
              </w:rPr>
            </w:pPr>
            <w:r>
              <w:rPr>
                <w:rFonts w:ascii="Arial" w:hAnsi="Arial" w:eastAsia="Times New Roman" w:cs="Arial"/>
                <w:sz w:val="15"/>
                <w:szCs w:val="15"/>
              </w:rPr>
              <w:t>Pengadaan Meubiler</w:t>
            </w:r>
          </w:p>
        </w:tc>
        <w:tc>
          <w:tcPr>
            <w:tcW w:w="1276"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Tersedianya:</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kursi tunggu 20 unit</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rak file 5 unit</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dll</w:t>
            </w:r>
          </w:p>
        </w:tc>
        <w:tc>
          <w:tcPr>
            <w:tcW w:w="1293"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Tersedianya:</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kursi tunggu 20 unit</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rak file 5 unit</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dll</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445.960.000,00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435.336.000,00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97,62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3</w:t>
            </w:r>
          </w:p>
        </w:tc>
        <w:tc>
          <w:tcPr>
            <w:tcW w:w="1222" w:type="dxa"/>
          </w:tcPr>
          <w:p>
            <w:pPr>
              <w:pStyle w:val="30"/>
              <w:spacing w:before="60" w:after="60" w:line="240" w:lineRule="auto"/>
              <w:ind w:left="0"/>
              <w:contextualSpacing w:val="0"/>
              <w:rPr>
                <w:rFonts w:ascii="Arial" w:hAnsi="Arial" w:cs="Arial"/>
                <w:bCs/>
                <w:sz w:val="15"/>
                <w:szCs w:val="15"/>
              </w:rPr>
            </w:pPr>
            <w:r>
              <w:rPr>
                <w:rFonts w:ascii="Arial" w:hAnsi="Arial" w:eastAsia="Times New Roman" w:cs="Arial"/>
                <w:sz w:val="15"/>
                <w:szCs w:val="15"/>
              </w:rPr>
              <w:t xml:space="preserve">Pengadaan Peralatan </w:t>
            </w:r>
            <w:r>
              <w:rPr>
                <w:rFonts w:ascii="Arial" w:hAnsi="Arial" w:cs="Arial"/>
                <w:sz w:val="15"/>
                <w:szCs w:val="15"/>
              </w:rPr>
              <w:t>d</w:t>
            </w:r>
            <w:r>
              <w:rPr>
                <w:rFonts w:ascii="Arial" w:hAnsi="Arial" w:eastAsia="Times New Roman" w:cs="Arial"/>
                <w:sz w:val="15"/>
                <w:szCs w:val="15"/>
              </w:rPr>
              <w:t>an Perlengkapan Kantor</w:t>
            </w:r>
          </w:p>
        </w:tc>
        <w:tc>
          <w:tcPr>
            <w:tcW w:w="1276"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Tersedianya:</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genset 3 unit</w:t>
            </w:r>
          </w:p>
          <w:p>
            <w:pPr>
              <w:pStyle w:val="30"/>
              <w:spacing w:before="60" w:after="60" w:line="240" w:lineRule="auto"/>
              <w:ind w:left="75" w:hanging="75" w:hangingChars="50"/>
              <w:contextualSpacing w:val="0"/>
              <w:rPr>
                <w:rFonts w:ascii="Arial" w:hAnsi="Arial" w:cs="Arial"/>
                <w:bCs/>
                <w:sz w:val="15"/>
                <w:szCs w:val="15"/>
              </w:rPr>
            </w:pPr>
            <w:r>
              <w:rPr>
                <w:rFonts w:ascii="Arial" w:hAnsi="Arial" w:cs="Arial"/>
                <w:bCs/>
                <w:sz w:val="15"/>
                <w:szCs w:val="15"/>
              </w:rPr>
              <w:t>- lemari besi 10 unit</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dll</w:t>
            </w:r>
          </w:p>
        </w:tc>
        <w:tc>
          <w:tcPr>
            <w:tcW w:w="1293"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Tersedianya:</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genset 3 unit</w:t>
            </w:r>
          </w:p>
          <w:p>
            <w:pPr>
              <w:pStyle w:val="30"/>
              <w:spacing w:before="60" w:after="60" w:line="240" w:lineRule="auto"/>
              <w:ind w:left="75" w:hanging="75" w:hangingChars="50"/>
              <w:contextualSpacing w:val="0"/>
              <w:rPr>
                <w:rFonts w:ascii="Arial" w:hAnsi="Arial" w:cs="Arial"/>
                <w:bCs/>
                <w:sz w:val="15"/>
                <w:szCs w:val="15"/>
              </w:rPr>
            </w:pPr>
            <w:r>
              <w:rPr>
                <w:rFonts w:ascii="Arial" w:hAnsi="Arial" w:cs="Arial"/>
                <w:bCs/>
                <w:sz w:val="15"/>
                <w:szCs w:val="15"/>
              </w:rPr>
              <w:t>- lemari besi 10 unit</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dll</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2.431.164.175,00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2.143.058.500,00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88,15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4</w:t>
            </w:r>
          </w:p>
        </w:tc>
        <w:tc>
          <w:tcPr>
            <w:tcW w:w="1222" w:type="dxa"/>
          </w:tcPr>
          <w:p>
            <w:pPr>
              <w:pStyle w:val="30"/>
              <w:spacing w:before="60" w:after="60" w:line="240" w:lineRule="auto"/>
              <w:ind w:left="0"/>
              <w:contextualSpacing w:val="0"/>
              <w:rPr>
                <w:rFonts w:ascii="Arial" w:hAnsi="Arial" w:cs="Arial"/>
                <w:bCs/>
                <w:sz w:val="15"/>
                <w:szCs w:val="15"/>
              </w:rPr>
            </w:pPr>
            <w:r>
              <w:rPr>
                <w:rFonts w:ascii="Arial" w:hAnsi="Arial" w:eastAsia="Times New Roman" w:cs="Arial"/>
                <w:sz w:val="15"/>
                <w:szCs w:val="15"/>
              </w:rPr>
              <w:t>Pemeliharaan Rutin/Berkala Gedung Kantor</w:t>
            </w:r>
          </w:p>
        </w:tc>
        <w:tc>
          <w:tcPr>
            <w:tcW w:w="1276"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1 tahun</w:t>
            </w:r>
          </w:p>
        </w:tc>
        <w:tc>
          <w:tcPr>
            <w:tcW w:w="1293"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1 tahun</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606.661.000,00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563.949.818,00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92,96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5</w:t>
            </w:r>
          </w:p>
        </w:tc>
        <w:tc>
          <w:tcPr>
            <w:tcW w:w="1222" w:type="dxa"/>
          </w:tcPr>
          <w:p>
            <w:pPr>
              <w:pStyle w:val="30"/>
              <w:spacing w:before="60" w:after="60" w:line="240" w:lineRule="auto"/>
              <w:ind w:left="0"/>
              <w:contextualSpacing w:val="0"/>
              <w:rPr>
                <w:rFonts w:ascii="Arial" w:hAnsi="Arial" w:cs="Arial"/>
                <w:bCs/>
                <w:sz w:val="15"/>
                <w:szCs w:val="15"/>
              </w:rPr>
            </w:pPr>
            <w:r>
              <w:rPr>
                <w:rFonts w:ascii="Arial" w:hAnsi="Arial" w:eastAsia="Times New Roman" w:cs="Arial"/>
                <w:sz w:val="15"/>
                <w:szCs w:val="15"/>
              </w:rPr>
              <w:t>Pemeliharaan Rutin/Berkala Kendaraan Operasional/ Dinas</w:t>
            </w:r>
          </w:p>
        </w:tc>
        <w:tc>
          <w:tcPr>
            <w:tcW w:w="1276"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Terlaksananya pemeliharaan kendaraan dinas berupa:</w:t>
            </w:r>
          </w:p>
          <w:p>
            <w:pPr>
              <w:pStyle w:val="30"/>
              <w:spacing w:before="60" w:after="60" w:line="240" w:lineRule="auto"/>
              <w:ind w:left="75" w:hanging="75" w:hangingChars="50"/>
              <w:contextualSpacing w:val="0"/>
              <w:rPr>
                <w:rFonts w:ascii="Arial" w:hAnsi="Arial" w:cs="Arial"/>
                <w:bCs/>
                <w:sz w:val="15"/>
                <w:szCs w:val="15"/>
              </w:rPr>
            </w:pPr>
            <w:r>
              <w:rPr>
                <w:rFonts w:ascii="Arial" w:hAnsi="Arial" w:cs="Arial"/>
                <w:bCs/>
                <w:sz w:val="15"/>
                <w:szCs w:val="15"/>
              </w:rPr>
              <w:t>- roda empat 34 unit</w:t>
            </w:r>
          </w:p>
          <w:p>
            <w:pPr>
              <w:pStyle w:val="30"/>
              <w:spacing w:before="60" w:after="60" w:line="240" w:lineRule="auto"/>
              <w:ind w:left="75" w:hanging="75" w:hangingChars="50"/>
              <w:contextualSpacing w:val="0"/>
              <w:rPr>
                <w:rFonts w:ascii="Arial" w:hAnsi="Arial" w:cs="Arial"/>
                <w:bCs/>
                <w:sz w:val="15"/>
                <w:szCs w:val="15"/>
              </w:rPr>
            </w:pPr>
            <w:r>
              <w:rPr>
                <w:rFonts w:ascii="Arial" w:hAnsi="Arial" w:cs="Arial"/>
                <w:bCs/>
                <w:sz w:val="15"/>
                <w:szCs w:val="15"/>
              </w:rPr>
              <w:t>- roda dua 20 unit</w:t>
            </w:r>
          </w:p>
          <w:p>
            <w:pPr>
              <w:pStyle w:val="30"/>
              <w:spacing w:before="60" w:after="60" w:line="240" w:lineRule="auto"/>
              <w:ind w:left="75" w:hanging="75" w:hangingChars="50"/>
              <w:contextualSpacing w:val="0"/>
              <w:rPr>
                <w:rFonts w:ascii="Arial" w:hAnsi="Arial" w:cs="Arial"/>
                <w:bCs/>
                <w:sz w:val="15"/>
                <w:szCs w:val="15"/>
              </w:rPr>
            </w:pPr>
            <w:r>
              <w:rPr>
                <w:rFonts w:ascii="Arial" w:hAnsi="Arial" w:cs="Arial"/>
                <w:bCs/>
                <w:sz w:val="15"/>
                <w:szCs w:val="15"/>
              </w:rPr>
              <w:t>- bus Samkel 13 unit</w:t>
            </w:r>
          </w:p>
        </w:tc>
        <w:tc>
          <w:tcPr>
            <w:tcW w:w="1293"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Terlaksananya pemeliharaan kendaraan dinas berupa:</w:t>
            </w:r>
          </w:p>
          <w:p>
            <w:pPr>
              <w:pStyle w:val="30"/>
              <w:spacing w:before="60" w:after="60" w:line="240" w:lineRule="auto"/>
              <w:ind w:left="75" w:hanging="75" w:hangingChars="50"/>
              <w:contextualSpacing w:val="0"/>
              <w:rPr>
                <w:rFonts w:ascii="Arial" w:hAnsi="Arial" w:cs="Arial"/>
                <w:bCs/>
                <w:sz w:val="15"/>
                <w:szCs w:val="15"/>
              </w:rPr>
            </w:pPr>
            <w:r>
              <w:rPr>
                <w:rFonts w:ascii="Arial" w:hAnsi="Arial" w:cs="Arial"/>
                <w:bCs/>
                <w:sz w:val="15"/>
                <w:szCs w:val="15"/>
              </w:rPr>
              <w:t>- roda empat 34 unit</w:t>
            </w:r>
          </w:p>
          <w:p>
            <w:pPr>
              <w:pStyle w:val="30"/>
              <w:spacing w:before="60" w:after="60" w:line="240" w:lineRule="auto"/>
              <w:ind w:left="75" w:hanging="75" w:hangingChars="50"/>
              <w:contextualSpacing w:val="0"/>
              <w:rPr>
                <w:rFonts w:ascii="Arial" w:hAnsi="Arial" w:cs="Arial"/>
                <w:bCs/>
                <w:sz w:val="15"/>
                <w:szCs w:val="15"/>
              </w:rPr>
            </w:pPr>
            <w:r>
              <w:rPr>
                <w:rFonts w:ascii="Arial" w:hAnsi="Arial" w:cs="Arial"/>
                <w:bCs/>
                <w:sz w:val="15"/>
                <w:szCs w:val="15"/>
              </w:rPr>
              <w:t>- roda dua 20 unit</w:t>
            </w:r>
          </w:p>
          <w:p>
            <w:pPr>
              <w:pStyle w:val="30"/>
              <w:spacing w:before="60" w:after="60" w:line="240" w:lineRule="auto"/>
              <w:ind w:left="75" w:hanging="75" w:hangingChars="50"/>
              <w:contextualSpacing w:val="0"/>
              <w:rPr>
                <w:rFonts w:ascii="Arial" w:hAnsi="Arial" w:cs="Arial"/>
                <w:bCs/>
                <w:sz w:val="15"/>
                <w:szCs w:val="15"/>
              </w:rPr>
            </w:pPr>
            <w:r>
              <w:rPr>
                <w:rFonts w:ascii="Arial" w:hAnsi="Arial" w:cs="Arial"/>
                <w:bCs/>
                <w:sz w:val="15"/>
                <w:szCs w:val="15"/>
              </w:rPr>
              <w:t>- bus Samkel 13 unit</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742.168.200,00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620.920.676,00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83,66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6</w:t>
            </w:r>
          </w:p>
        </w:tc>
        <w:tc>
          <w:tcPr>
            <w:tcW w:w="1222" w:type="dxa"/>
          </w:tcPr>
          <w:p>
            <w:pPr>
              <w:pStyle w:val="30"/>
              <w:spacing w:before="60" w:after="60" w:line="240" w:lineRule="auto"/>
              <w:ind w:left="0"/>
              <w:contextualSpacing w:val="0"/>
              <w:rPr>
                <w:rFonts w:ascii="Arial" w:hAnsi="Arial" w:cs="Arial"/>
                <w:bCs/>
                <w:sz w:val="15"/>
                <w:szCs w:val="15"/>
              </w:rPr>
            </w:pPr>
            <w:r>
              <w:rPr>
                <w:rFonts w:ascii="Arial" w:hAnsi="Arial" w:eastAsia="Times New Roman" w:cs="Arial"/>
                <w:sz w:val="15"/>
                <w:szCs w:val="15"/>
              </w:rPr>
              <w:t>Pemeliharaan Rutin/Berkala Peralatan/Perlengkapan kantor</w:t>
            </w:r>
          </w:p>
        </w:tc>
        <w:tc>
          <w:tcPr>
            <w:tcW w:w="1276"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Terpeliharanya peralatan dan perlengkapan kantorberupa:</w:t>
            </w:r>
          </w:p>
          <w:p>
            <w:pPr>
              <w:pStyle w:val="30"/>
              <w:spacing w:before="60" w:after="60" w:line="240" w:lineRule="auto"/>
              <w:ind w:left="75" w:hanging="75" w:hangingChars="50"/>
              <w:contextualSpacing w:val="0"/>
              <w:rPr>
                <w:rFonts w:ascii="Arial" w:hAnsi="Arial" w:cs="Arial"/>
                <w:bCs/>
                <w:sz w:val="15"/>
                <w:szCs w:val="15"/>
              </w:rPr>
            </w:pPr>
            <w:r>
              <w:rPr>
                <w:rFonts w:ascii="Arial" w:hAnsi="Arial" w:cs="Arial"/>
                <w:bCs/>
                <w:sz w:val="15"/>
                <w:szCs w:val="15"/>
              </w:rPr>
              <w:t>- telepon 18 unit</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TV 32 unit</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dll</w:t>
            </w:r>
          </w:p>
        </w:tc>
        <w:tc>
          <w:tcPr>
            <w:tcW w:w="1293"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Terpeliharanya peralatan dan perlengkapan kantorberupa:</w:t>
            </w:r>
          </w:p>
          <w:p>
            <w:pPr>
              <w:pStyle w:val="30"/>
              <w:spacing w:before="60" w:after="60" w:line="240" w:lineRule="auto"/>
              <w:ind w:left="75" w:hanging="75" w:hangingChars="50"/>
              <w:contextualSpacing w:val="0"/>
              <w:rPr>
                <w:rFonts w:ascii="Arial" w:hAnsi="Arial" w:cs="Arial"/>
                <w:bCs/>
                <w:sz w:val="15"/>
                <w:szCs w:val="15"/>
              </w:rPr>
            </w:pPr>
            <w:r>
              <w:rPr>
                <w:rFonts w:ascii="Arial" w:hAnsi="Arial" w:cs="Arial"/>
                <w:bCs/>
                <w:sz w:val="15"/>
                <w:szCs w:val="15"/>
              </w:rPr>
              <w:t>- telepon 18 unit</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TV 32 unit</w:t>
            </w:r>
          </w:p>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 dll</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525.750.000,00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474.961.511,00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7</w:t>
            </w:r>
          </w:p>
        </w:tc>
        <w:tc>
          <w:tcPr>
            <w:tcW w:w="1222" w:type="dxa"/>
          </w:tcPr>
          <w:p>
            <w:pPr>
              <w:pStyle w:val="30"/>
              <w:spacing w:before="60" w:after="60" w:line="240" w:lineRule="auto"/>
              <w:ind w:left="0"/>
              <w:contextualSpacing w:val="0"/>
              <w:rPr>
                <w:rFonts w:ascii="Arial" w:hAnsi="Arial" w:eastAsia="Times New Roman" w:cs="Arial"/>
                <w:sz w:val="15"/>
                <w:szCs w:val="15"/>
              </w:rPr>
            </w:pPr>
            <w:r>
              <w:rPr>
                <w:rFonts w:ascii="Arial" w:hAnsi="Arial" w:eastAsia="Times New Roman" w:cs="Arial"/>
                <w:sz w:val="15"/>
                <w:szCs w:val="15"/>
              </w:rPr>
              <w:t>Pemeliharaan Rutin/Berkala Instalasi dan Jaringan</w:t>
            </w:r>
          </w:p>
        </w:tc>
        <w:tc>
          <w:tcPr>
            <w:tcW w:w="1276"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1 tahun</w:t>
            </w:r>
          </w:p>
        </w:tc>
        <w:tc>
          <w:tcPr>
            <w:tcW w:w="1293"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1 tahun</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369.757.448,00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363.848.465,00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98,40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8</w:t>
            </w:r>
          </w:p>
        </w:tc>
        <w:tc>
          <w:tcPr>
            <w:tcW w:w="1222" w:type="dxa"/>
          </w:tcPr>
          <w:p>
            <w:pPr>
              <w:pStyle w:val="30"/>
              <w:spacing w:before="60" w:after="60" w:line="240" w:lineRule="auto"/>
              <w:ind w:left="0"/>
              <w:contextualSpacing w:val="0"/>
              <w:rPr>
                <w:rFonts w:ascii="Arial" w:hAnsi="Arial" w:cs="Arial"/>
                <w:bCs/>
                <w:sz w:val="15"/>
                <w:szCs w:val="15"/>
              </w:rPr>
            </w:pPr>
            <w:r>
              <w:rPr>
                <w:rFonts w:ascii="Arial" w:hAnsi="Arial" w:eastAsia="Times New Roman" w:cs="Arial"/>
                <w:sz w:val="15"/>
                <w:szCs w:val="15"/>
              </w:rPr>
              <w:t>Rehabilitasi Sedang/Berat Gedung Kantor</w:t>
            </w:r>
          </w:p>
        </w:tc>
        <w:tc>
          <w:tcPr>
            <w:tcW w:w="1276"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Terlaksananya rehab Kantor UPTD/Samsat  sebanyak unit</w:t>
            </w:r>
          </w:p>
        </w:tc>
        <w:tc>
          <w:tcPr>
            <w:tcW w:w="1293"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Terlaksananya rehab Kantor UPTD/Samsat  sebanyak unit</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407.464.514,00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382.078.400,00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93,77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shd w:val="clear" w:color="auto" w:fill="EBF1DE" w:themeFill="accent3" w:themeFillTint="32"/>
          </w:tcPr>
          <w:p>
            <w:pPr>
              <w:pStyle w:val="30"/>
              <w:spacing w:before="60" w:after="60" w:line="240" w:lineRule="auto"/>
              <w:ind w:left="150" w:right="-105"/>
              <w:contextualSpacing w:val="0"/>
              <w:jc w:val="both"/>
              <w:rPr>
                <w:rFonts w:ascii="Arial" w:hAnsi="Arial" w:eastAsia="Times New Roman" w:cs="Arial"/>
                <w:b/>
                <w:i/>
                <w:iCs/>
                <w:sz w:val="15"/>
                <w:szCs w:val="15"/>
              </w:rPr>
            </w:pPr>
            <w:r>
              <w:rPr>
                <w:rFonts w:ascii="Arial" w:hAnsi="Arial" w:cs="Arial"/>
                <w:b/>
                <w:i/>
                <w:iCs/>
                <w:sz w:val="15"/>
                <w:szCs w:val="15"/>
              </w:rPr>
              <w:t>III</w:t>
            </w:r>
          </w:p>
        </w:tc>
        <w:tc>
          <w:tcPr>
            <w:tcW w:w="1222" w:type="dxa"/>
            <w:shd w:val="clear" w:color="auto" w:fill="EBF1DE" w:themeFill="accent3" w:themeFillTint="32"/>
          </w:tcPr>
          <w:p>
            <w:pPr>
              <w:pStyle w:val="30"/>
              <w:spacing w:before="60" w:after="60" w:line="240" w:lineRule="auto"/>
              <w:ind w:left="0"/>
              <w:contextualSpacing w:val="0"/>
              <w:rPr>
                <w:rFonts w:ascii="Arial" w:hAnsi="Arial" w:eastAsia="Times New Roman" w:cs="Arial"/>
                <w:b/>
                <w:i/>
                <w:iCs/>
                <w:sz w:val="15"/>
                <w:szCs w:val="15"/>
              </w:rPr>
            </w:pPr>
            <w:r>
              <w:rPr>
                <w:rFonts w:ascii="Arial" w:hAnsi="Arial" w:cs="Arial"/>
                <w:b/>
                <w:i/>
                <w:iCs/>
                <w:sz w:val="15"/>
                <w:szCs w:val="15"/>
              </w:rPr>
              <w:t>Program Peningkatan Disiplin Aparatur</w:t>
            </w:r>
          </w:p>
        </w:tc>
        <w:tc>
          <w:tcPr>
            <w:tcW w:w="1276"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r>
              <w:rPr>
                <w:rFonts w:ascii="Arial" w:hAnsi="Arial" w:cs="Arial"/>
                <w:b/>
                <w:i/>
                <w:iCs/>
                <w:sz w:val="15"/>
                <w:szCs w:val="15"/>
              </w:rPr>
              <w:t>Kegiatan Penunjang OPD</w:t>
            </w:r>
          </w:p>
        </w:tc>
        <w:tc>
          <w:tcPr>
            <w:tcW w:w="1181" w:type="dxa"/>
            <w:shd w:val="clear" w:color="auto" w:fill="EBF1DE" w:themeFill="accent3" w:themeFillTint="32"/>
          </w:tcPr>
          <w:p>
            <w:pPr>
              <w:pStyle w:val="30"/>
              <w:spacing w:before="60" w:after="60" w:line="240" w:lineRule="auto"/>
              <w:ind w:left="0"/>
              <w:contextualSpacing w:val="0"/>
              <w:rPr>
                <w:rFonts w:ascii="Arial" w:hAnsi="Arial" w:cs="Arial"/>
                <w:b/>
                <w:i/>
                <w:iCs/>
                <w:sz w:val="15"/>
                <w:szCs w:val="15"/>
              </w:rPr>
            </w:pPr>
          </w:p>
        </w:tc>
        <w:tc>
          <w:tcPr>
            <w:tcW w:w="1293" w:type="dxa"/>
            <w:shd w:val="clear" w:color="auto" w:fill="EBF1DE" w:themeFill="accent3" w:themeFillTint="32"/>
          </w:tcPr>
          <w:p>
            <w:pPr>
              <w:pStyle w:val="30"/>
              <w:spacing w:before="60" w:after="60" w:line="240" w:lineRule="auto"/>
              <w:ind w:left="0"/>
              <w:contextualSpacing w:val="0"/>
              <w:rPr>
                <w:rFonts w:ascii="Arial" w:hAnsi="Arial" w:cs="Arial"/>
                <w:b/>
                <w:i/>
                <w:iCs/>
                <w:sz w:val="15"/>
                <w:szCs w:val="15"/>
              </w:rPr>
            </w:pPr>
          </w:p>
        </w:tc>
        <w:tc>
          <w:tcPr>
            <w:tcW w:w="1028"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445"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387"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294"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p>
        </w:tc>
        <w:tc>
          <w:tcPr>
            <w:tcW w:w="1222" w:type="dxa"/>
          </w:tcPr>
          <w:p>
            <w:pPr>
              <w:pStyle w:val="30"/>
              <w:spacing w:before="60" w:after="60" w:line="240" w:lineRule="auto"/>
              <w:ind w:left="0"/>
              <w:contextualSpacing w:val="0"/>
              <w:rPr>
                <w:rFonts w:ascii="Arial" w:hAnsi="Arial" w:cs="Arial"/>
                <w:bCs/>
                <w:sz w:val="15"/>
                <w:szCs w:val="15"/>
              </w:rPr>
            </w:pPr>
            <w:r>
              <w:rPr>
                <w:rFonts w:ascii="Arial" w:hAnsi="Arial" w:eastAsia="Times New Roman" w:cs="Arial"/>
                <w:sz w:val="15"/>
                <w:szCs w:val="15"/>
              </w:rPr>
              <w:t>Pengadaan pakaian dinas beserta perlengkapannya</w:t>
            </w:r>
          </w:p>
        </w:tc>
        <w:tc>
          <w:tcPr>
            <w:tcW w:w="1276"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280 stel</w:t>
            </w:r>
          </w:p>
        </w:tc>
        <w:tc>
          <w:tcPr>
            <w:tcW w:w="1293" w:type="dxa"/>
          </w:tcPr>
          <w:p>
            <w:pPr>
              <w:pStyle w:val="30"/>
              <w:spacing w:before="60" w:after="60" w:line="240" w:lineRule="auto"/>
              <w:ind w:left="0"/>
              <w:contextualSpacing w:val="0"/>
              <w:rPr>
                <w:rFonts w:ascii="Arial" w:hAnsi="Arial" w:cs="Arial"/>
                <w:bCs/>
                <w:sz w:val="15"/>
                <w:szCs w:val="15"/>
              </w:rPr>
            </w:pPr>
            <w:r>
              <w:rPr>
                <w:rFonts w:ascii="Arial" w:hAnsi="Arial" w:cs="Arial"/>
                <w:bCs/>
                <w:sz w:val="15"/>
                <w:szCs w:val="15"/>
              </w:rPr>
              <w:t>280 stel</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194.250.000,00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185.102.000,00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shd w:val="clear" w:color="auto" w:fill="EBF1DE" w:themeFill="accent3" w:themeFillTint="32"/>
          </w:tcPr>
          <w:p>
            <w:pPr>
              <w:pStyle w:val="30"/>
              <w:spacing w:before="60" w:after="60" w:line="240" w:lineRule="auto"/>
              <w:ind w:left="150" w:right="-105"/>
              <w:contextualSpacing w:val="0"/>
              <w:jc w:val="both"/>
              <w:rPr>
                <w:rFonts w:ascii="Arial" w:hAnsi="Arial" w:eastAsia="Times New Roman" w:cs="Arial"/>
                <w:b/>
                <w:sz w:val="15"/>
                <w:szCs w:val="15"/>
              </w:rPr>
            </w:pPr>
            <w:r>
              <w:rPr>
                <w:rFonts w:ascii="Arial" w:hAnsi="Arial" w:cs="Arial"/>
                <w:b/>
                <w:sz w:val="15"/>
                <w:szCs w:val="15"/>
              </w:rPr>
              <w:t>IV</w:t>
            </w:r>
          </w:p>
        </w:tc>
        <w:tc>
          <w:tcPr>
            <w:tcW w:w="1222" w:type="dxa"/>
            <w:shd w:val="clear" w:color="auto" w:fill="EBF1DE" w:themeFill="accent3" w:themeFillTint="32"/>
          </w:tcPr>
          <w:p>
            <w:pPr>
              <w:pStyle w:val="30"/>
              <w:spacing w:before="60" w:after="60" w:line="240" w:lineRule="auto"/>
              <w:ind w:left="0"/>
              <w:contextualSpacing w:val="0"/>
              <w:rPr>
                <w:rFonts w:ascii="Arial" w:hAnsi="Arial" w:eastAsia="Times New Roman" w:cs="Arial"/>
                <w:b/>
                <w:sz w:val="15"/>
                <w:szCs w:val="15"/>
              </w:rPr>
            </w:pPr>
            <w:r>
              <w:rPr>
                <w:rFonts w:ascii="Arial" w:hAnsi="Arial" w:cs="Arial"/>
                <w:b/>
                <w:sz w:val="15"/>
                <w:szCs w:val="15"/>
              </w:rPr>
              <w:t>Program Peningkatan Kapasitas Sumber Daya Aparatur</w:t>
            </w:r>
          </w:p>
        </w:tc>
        <w:tc>
          <w:tcPr>
            <w:tcW w:w="1276" w:type="dxa"/>
            <w:shd w:val="clear" w:color="auto" w:fill="EBF1DE" w:themeFill="accent3" w:themeFillTint="32"/>
          </w:tcPr>
          <w:p>
            <w:pPr>
              <w:pStyle w:val="30"/>
              <w:spacing w:before="60" w:after="60" w:line="240" w:lineRule="auto"/>
              <w:ind w:left="0"/>
              <w:contextualSpacing w:val="0"/>
              <w:jc w:val="both"/>
              <w:rPr>
                <w:rFonts w:ascii="Arial" w:hAnsi="Arial" w:cs="Arial"/>
                <w:b/>
                <w:sz w:val="15"/>
                <w:szCs w:val="15"/>
              </w:rPr>
            </w:pPr>
            <w:r>
              <w:rPr>
                <w:rFonts w:ascii="Arial" w:hAnsi="Arial" w:cs="Arial"/>
                <w:b/>
                <w:sz w:val="15"/>
                <w:szCs w:val="15"/>
              </w:rPr>
              <w:t>Kegiatan Penunjang OPD</w:t>
            </w:r>
          </w:p>
        </w:tc>
        <w:tc>
          <w:tcPr>
            <w:tcW w:w="1181" w:type="dxa"/>
            <w:shd w:val="clear" w:color="auto" w:fill="EBF1DE" w:themeFill="accent3" w:themeFillTint="32"/>
          </w:tcPr>
          <w:p>
            <w:pPr>
              <w:pStyle w:val="30"/>
              <w:spacing w:before="60" w:after="60" w:line="240" w:lineRule="auto"/>
              <w:ind w:left="0"/>
              <w:contextualSpacing w:val="0"/>
              <w:rPr>
                <w:rFonts w:ascii="Arial" w:hAnsi="Arial" w:cs="Arial"/>
                <w:b/>
                <w:sz w:val="15"/>
                <w:szCs w:val="15"/>
              </w:rPr>
            </w:pPr>
          </w:p>
        </w:tc>
        <w:tc>
          <w:tcPr>
            <w:tcW w:w="1293" w:type="dxa"/>
            <w:shd w:val="clear" w:color="auto" w:fill="EBF1DE" w:themeFill="accent3" w:themeFillTint="32"/>
          </w:tcPr>
          <w:p>
            <w:pPr>
              <w:pStyle w:val="30"/>
              <w:spacing w:before="60" w:after="60" w:line="240" w:lineRule="auto"/>
              <w:ind w:left="0"/>
              <w:contextualSpacing w:val="0"/>
              <w:rPr>
                <w:rFonts w:ascii="Arial" w:hAnsi="Arial" w:cs="Arial"/>
                <w:b/>
                <w:sz w:val="15"/>
                <w:szCs w:val="15"/>
              </w:rPr>
            </w:pPr>
          </w:p>
        </w:tc>
        <w:tc>
          <w:tcPr>
            <w:tcW w:w="1028" w:type="dxa"/>
            <w:shd w:val="clear" w:color="auto" w:fill="EBF1DE" w:themeFill="accent3" w:themeFillTint="32"/>
          </w:tcPr>
          <w:p>
            <w:pPr>
              <w:pStyle w:val="30"/>
              <w:spacing w:before="60" w:after="60" w:line="240" w:lineRule="auto"/>
              <w:ind w:left="0"/>
              <w:contextualSpacing w:val="0"/>
              <w:jc w:val="both"/>
              <w:rPr>
                <w:rFonts w:ascii="Arial" w:hAnsi="Arial" w:cs="Arial"/>
                <w:b/>
                <w:sz w:val="15"/>
                <w:szCs w:val="15"/>
              </w:rPr>
            </w:pPr>
          </w:p>
        </w:tc>
        <w:tc>
          <w:tcPr>
            <w:tcW w:w="1445" w:type="dxa"/>
            <w:shd w:val="clear" w:color="auto" w:fill="EBF1DE" w:themeFill="accent3" w:themeFillTint="32"/>
          </w:tcPr>
          <w:p>
            <w:pPr>
              <w:pStyle w:val="30"/>
              <w:spacing w:before="60" w:after="60" w:line="240" w:lineRule="auto"/>
              <w:ind w:left="0"/>
              <w:contextualSpacing w:val="0"/>
              <w:jc w:val="both"/>
              <w:rPr>
                <w:rFonts w:ascii="Arial" w:hAnsi="Arial" w:cs="Arial"/>
                <w:b/>
                <w:sz w:val="15"/>
                <w:szCs w:val="15"/>
              </w:rPr>
            </w:pPr>
          </w:p>
        </w:tc>
        <w:tc>
          <w:tcPr>
            <w:tcW w:w="1387" w:type="dxa"/>
            <w:shd w:val="clear" w:color="auto" w:fill="EBF1DE" w:themeFill="accent3" w:themeFillTint="32"/>
          </w:tcPr>
          <w:p>
            <w:pPr>
              <w:pStyle w:val="30"/>
              <w:spacing w:before="60" w:after="60" w:line="240" w:lineRule="auto"/>
              <w:ind w:left="0"/>
              <w:contextualSpacing w:val="0"/>
              <w:jc w:val="both"/>
              <w:rPr>
                <w:rFonts w:ascii="Arial" w:hAnsi="Arial" w:cs="Arial"/>
                <w:b/>
                <w:sz w:val="15"/>
                <w:szCs w:val="15"/>
              </w:rPr>
            </w:pPr>
          </w:p>
        </w:tc>
        <w:tc>
          <w:tcPr>
            <w:tcW w:w="1294" w:type="dxa"/>
            <w:shd w:val="clear" w:color="auto" w:fill="EBF1DE" w:themeFill="accent3" w:themeFillTint="32"/>
          </w:tcPr>
          <w:p>
            <w:pPr>
              <w:pStyle w:val="30"/>
              <w:spacing w:before="60" w:after="60" w:line="240" w:lineRule="auto"/>
              <w:ind w:left="0"/>
              <w:contextualSpacing w:val="0"/>
              <w:jc w:val="both"/>
              <w:rPr>
                <w:rFonts w:ascii="Arial" w:hAnsi="Arial" w:cs="Arial"/>
                <w:b/>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eastAsia="Times New Roman" w:cs="Arial"/>
                <w:bCs/>
                <w:sz w:val="15"/>
                <w:szCs w:val="15"/>
              </w:rPr>
            </w:pPr>
          </w:p>
        </w:tc>
        <w:tc>
          <w:tcPr>
            <w:tcW w:w="1222" w:type="dxa"/>
          </w:tcPr>
          <w:p>
            <w:pPr>
              <w:rPr>
                <w:rFonts w:ascii="Arial" w:hAnsi="Arial" w:eastAsia="Times New Roman" w:cs="Arial"/>
                <w:sz w:val="16"/>
                <w:szCs w:val="16"/>
              </w:rPr>
            </w:pPr>
            <w:r>
              <w:rPr>
                <w:rFonts w:ascii="Arial" w:hAnsi="Arial" w:eastAsia="Times New Roman" w:cs="Arial"/>
                <w:sz w:val="16"/>
                <w:szCs w:val="16"/>
              </w:rPr>
              <w:t>Sosialisasi Peraturan dan Perundang-undangan</w:t>
            </w:r>
          </w:p>
        </w:tc>
        <w:tc>
          <w:tcPr>
            <w:tcW w:w="1276"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5"/>
                <w:szCs w:val="15"/>
              </w:rPr>
              <w:t>Kegiatan Penunjang OPD</w:t>
            </w:r>
          </w:p>
        </w:tc>
        <w:tc>
          <w:tcPr>
            <w:tcW w:w="1181" w:type="dxa"/>
          </w:tcPr>
          <w:p>
            <w:pPr>
              <w:rPr>
                <w:rFonts w:ascii="Arial" w:hAnsi="Arial" w:eastAsia="Times New Roman" w:cs="Arial"/>
                <w:sz w:val="16"/>
                <w:szCs w:val="16"/>
              </w:rPr>
            </w:pPr>
            <w:r>
              <w:rPr>
                <w:rFonts w:ascii="Arial" w:hAnsi="Arial" w:eastAsia="Times New Roman" w:cs="Arial"/>
                <w:sz w:val="16"/>
                <w:szCs w:val="16"/>
              </w:rPr>
              <w:t>Tidak terlaksana karena termasuk kegiatan yang terdampak rasionalisasi penanganan Covid-19</w:t>
            </w:r>
          </w:p>
        </w:tc>
        <w:tc>
          <w:tcPr>
            <w:tcW w:w="1293" w:type="dxa"/>
          </w:tcPr>
          <w:p>
            <w:pPr>
              <w:rPr>
                <w:rFonts w:ascii="Arial" w:hAnsi="Arial" w:cs="Arial"/>
                <w:bCs/>
                <w:sz w:val="15"/>
                <w:szCs w:val="15"/>
              </w:rPr>
            </w:pPr>
            <w:r>
              <w:rPr>
                <w:rFonts w:ascii="Arial" w:hAnsi="Arial" w:eastAsia="Times New Roman" w:cs="Arial"/>
                <w:sz w:val="16"/>
                <w:szCs w:val="16"/>
              </w:rPr>
              <w:t>Tidak terlaksana karena termasuk kegiatan yang terdampak rasionalisasi penanganan Covid-19</w:t>
            </w:r>
          </w:p>
        </w:tc>
        <w:tc>
          <w:tcPr>
            <w:tcW w:w="1028" w:type="dxa"/>
          </w:tcPr>
          <w:p>
            <w:pPr>
              <w:pStyle w:val="30"/>
              <w:spacing w:before="60" w:after="60" w:line="240" w:lineRule="auto"/>
              <w:ind w:left="0"/>
              <w:contextualSpacing w:val="0"/>
              <w:jc w:val="both"/>
              <w:rPr>
                <w:rFonts w:ascii="Arial" w:hAnsi="Arial" w:cs="Arial"/>
                <w:bCs/>
                <w:sz w:val="15"/>
                <w:szCs w:val="15"/>
              </w:rPr>
            </w:pPr>
          </w:p>
        </w:tc>
        <w:tc>
          <w:tcPr>
            <w:tcW w:w="1445" w:type="dxa"/>
          </w:tcPr>
          <w:p>
            <w:pPr>
              <w:pStyle w:val="30"/>
              <w:spacing w:before="60" w:after="60" w:line="240" w:lineRule="auto"/>
              <w:ind w:left="0"/>
              <w:contextualSpacing w:val="0"/>
              <w:jc w:val="both"/>
              <w:rPr>
                <w:rFonts w:ascii="Arial" w:hAnsi="Arial" w:cs="Arial"/>
                <w:bCs/>
                <w:sz w:val="15"/>
                <w:szCs w:val="15"/>
              </w:rPr>
            </w:pPr>
          </w:p>
        </w:tc>
        <w:tc>
          <w:tcPr>
            <w:tcW w:w="1387" w:type="dxa"/>
          </w:tcPr>
          <w:p>
            <w:pPr>
              <w:pStyle w:val="30"/>
              <w:spacing w:before="60" w:after="60" w:line="240" w:lineRule="auto"/>
              <w:ind w:left="0"/>
              <w:contextualSpacing w:val="0"/>
              <w:jc w:val="both"/>
              <w:rPr>
                <w:rFonts w:ascii="Arial" w:hAnsi="Arial" w:cs="Arial"/>
                <w:bCs/>
                <w:sz w:val="15"/>
                <w:szCs w:val="15"/>
              </w:rPr>
            </w:pPr>
          </w:p>
        </w:tc>
        <w:tc>
          <w:tcPr>
            <w:tcW w:w="1294" w:type="dxa"/>
          </w:tcPr>
          <w:p>
            <w:pPr>
              <w:pStyle w:val="30"/>
              <w:spacing w:before="60" w:after="60" w:line="240" w:lineRule="auto"/>
              <w:ind w:left="0"/>
              <w:contextualSpacing w:val="0"/>
              <w:jc w:val="both"/>
              <w:rPr>
                <w:rFonts w:ascii="Arial" w:hAnsi="Arial" w:cs="Arial"/>
                <w:bCs/>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eastAsia="Times New Roman" w:cs="Arial"/>
                <w:bCs/>
                <w:sz w:val="15"/>
                <w:szCs w:val="15"/>
              </w:rPr>
            </w:pPr>
          </w:p>
        </w:tc>
        <w:tc>
          <w:tcPr>
            <w:tcW w:w="1222" w:type="dxa"/>
          </w:tcPr>
          <w:p>
            <w:pPr>
              <w:pStyle w:val="30"/>
              <w:spacing w:before="60" w:after="60" w:line="240" w:lineRule="auto"/>
              <w:ind w:left="0"/>
              <w:contextualSpacing w:val="0"/>
              <w:rPr>
                <w:rFonts w:ascii="Arial" w:hAnsi="Arial" w:eastAsia="Times New Roman" w:cs="Arial"/>
                <w:bCs/>
                <w:sz w:val="16"/>
                <w:szCs w:val="16"/>
              </w:rPr>
            </w:pPr>
            <w:r>
              <w:rPr>
                <w:rFonts w:ascii="Arial" w:hAnsi="Arial" w:eastAsia="Times New Roman" w:cs="Arial"/>
                <w:sz w:val="16"/>
                <w:szCs w:val="16"/>
              </w:rPr>
              <w:t xml:space="preserve">Bimbingan Teknis Implementasi peraturan Perundang-undangan </w:t>
            </w:r>
          </w:p>
        </w:tc>
        <w:tc>
          <w:tcPr>
            <w:tcW w:w="1276"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5"/>
                <w:szCs w:val="15"/>
              </w:rPr>
              <w:t>Kegiatan Penunjang OPD</w:t>
            </w:r>
          </w:p>
        </w:tc>
        <w:tc>
          <w:tcPr>
            <w:tcW w:w="1181" w:type="dxa"/>
          </w:tcPr>
          <w:p>
            <w:pPr>
              <w:rPr>
                <w:rFonts w:ascii="Arial" w:hAnsi="Arial" w:eastAsia="Times New Roman" w:cs="Arial"/>
                <w:sz w:val="16"/>
                <w:szCs w:val="16"/>
              </w:rPr>
            </w:pPr>
            <w:r>
              <w:rPr>
                <w:rFonts w:ascii="Arial" w:hAnsi="Arial" w:eastAsia="Times New Roman" w:cs="Arial"/>
                <w:sz w:val="16"/>
                <w:szCs w:val="16"/>
              </w:rPr>
              <w:t>Tidak terlaksana karena termasuk kegiatan yang terdampak rasionalisasi penanganan Covid-19</w:t>
            </w:r>
          </w:p>
        </w:tc>
        <w:tc>
          <w:tcPr>
            <w:tcW w:w="1293" w:type="dxa"/>
          </w:tcPr>
          <w:p>
            <w:pPr>
              <w:rPr>
                <w:rFonts w:ascii="Arial" w:hAnsi="Arial" w:cs="Arial"/>
                <w:bCs/>
                <w:sz w:val="15"/>
                <w:szCs w:val="15"/>
              </w:rPr>
            </w:pPr>
            <w:r>
              <w:rPr>
                <w:rFonts w:ascii="Arial" w:hAnsi="Arial" w:eastAsia="Times New Roman" w:cs="Arial"/>
                <w:sz w:val="16"/>
                <w:szCs w:val="16"/>
              </w:rPr>
              <w:t>Tidak terlaksana karena termasuk kegiatan yang terdampak rasionalisasi penanganan Covid-19</w:t>
            </w:r>
          </w:p>
        </w:tc>
        <w:tc>
          <w:tcPr>
            <w:tcW w:w="1028" w:type="dxa"/>
          </w:tcPr>
          <w:p>
            <w:pPr>
              <w:pStyle w:val="30"/>
              <w:spacing w:before="60" w:after="60" w:line="240" w:lineRule="auto"/>
              <w:ind w:left="0"/>
              <w:contextualSpacing w:val="0"/>
              <w:jc w:val="both"/>
              <w:rPr>
                <w:rFonts w:ascii="Arial" w:hAnsi="Arial" w:cs="Arial"/>
                <w:bCs/>
                <w:sz w:val="15"/>
                <w:szCs w:val="15"/>
              </w:rPr>
            </w:pPr>
          </w:p>
        </w:tc>
        <w:tc>
          <w:tcPr>
            <w:tcW w:w="1445" w:type="dxa"/>
          </w:tcPr>
          <w:p>
            <w:pPr>
              <w:pStyle w:val="30"/>
              <w:spacing w:before="60" w:after="60" w:line="240" w:lineRule="auto"/>
              <w:ind w:left="0"/>
              <w:contextualSpacing w:val="0"/>
              <w:jc w:val="both"/>
              <w:rPr>
                <w:rFonts w:ascii="Arial" w:hAnsi="Arial" w:cs="Arial"/>
                <w:bCs/>
                <w:sz w:val="15"/>
                <w:szCs w:val="15"/>
              </w:rPr>
            </w:pPr>
          </w:p>
        </w:tc>
        <w:tc>
          <w:tcPr>
            <w:tcW w:w="1387" w:type="dxa"/>
          </w:tcPr>
          <w:p>
            <w:pPr>
              <w:pStyle w:val="30"/>
              <w:spacing w:before="60" w:after="60" w:line="240" w:lineRule="auto"/>
              <w:ind w:left="0"/>
              <w:contextualSpacing w:val="0"/>
              <w:jc w:val="both"/>
              <w:rPr>
                <w:rFonts w:ascii="Arial" w:hAnsi="Arial" w:cs="Arial"/>
                <w:bCs/>
                <w:sz w:val="15"/>
                <w:szCs w:val="15"/>
              </w:rPr>
            </w:pPr>
          </w:p>
        </w:tc>
        <w:tc>
          <w:tcPr>
            <w:tcW w:w="1294" w:type="dxa"/>
          </w:tcPr>
          <w:p>
            <w:pPr>
              <w:pStyle w:val="30"/>
              <w:spacing w:before="60" w:after="60" w:line="240" w:lineRule="auto"/>
              <w:ind w:left="0"/>
              <w:contextualSpacing w:val="0"/>
              <w:jc w:val="both"/>
              <w:rPr>
                <w:rFonts w:ascii="Arial" w:hAnsi="Arial" w:cs="Arial"/>
                <w:bCs/>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1" w:hRule="atLeast"/>
        </w:trPr>
        <w:tc>
          <w:tcPr>
            <w:tcW w:w="567" w:type="dxa"/>
            <w:shd w:val="clear" w:color="auto" w:fill="EBF1DE" w:themeFill="accent3" w:themeFillTint="32"/>
          </w:tcPr>
          <w:p>
            <w:pPr>
              <w:pStyle w:val="30"/>
              <w:spacing w:before="60" w:after="60" w:line="240" w:lineRule="auto"/>
              <w:ind w:left="150" w:right="-105"/>
              <w:contextualSpacing w:val="0"/>
              <w:jc w:val="both"/>
              <w:rPr>
                <w:rFonts w:ascii="Arial" w:hAnsi="Arial" w:cs="Arial"/>
                <w:b/>
                <w:i/>
                <w:iCs/>
                <w:sz w:val="15"/>
                <w:szCs w:val="15"/>
              </w:rPr>
            </w:pPr>
            <w:r>
              <w:rPr>
                <w:rFonts w:ascii="Arial" w:hAnsi="Arial" w:cs="Arial"/>
                <w:b/>
                <w:i/>
                <w:iCs/>
                <w:sz w:val="15"/>
                <w:szCs w:val="15"/>
              </w:rPr>
              <w:t>V</w:t>
            </w:r>
          </w:p>
        </w:tc>
        <w:tc>
          <w:tcPr>
            <w:tcW w:w="1222" w:type="dxa"/>
            <w:shd w:val="clear" w:color="auto" w:fill="EBF1DE" w:themeFill="accent3" w:themeFillTint="32"/>
          </w:tcPr>
          <w:p>
            <w:pPr>
              <w:pStyle w:val="30"/>
              <w:spacing w:before="60" w:after="60" w:line="240" w:lineRule="auto"/>
              <w:ind w:left="0"/>
              <w:contextualSpacing w:val="0"/>
              <w:rPr>
                <w:rFonts w:ascii="Arial" w:hAnsi="Arial" w:cs="Arial"/>
                <w:b/>
                <w:i/>
                <w:iCs/>
                <w:sz w:val="16"/>
                <w:szCs w:val="16"/>
              </w:rPr>
            </w:pPr>
            <w:r>
              <w:rPr>
                <w:rFonts w:ascii="Arial" w:hAnsi="Arial" w:eastAsia="Times New Roman" w:cs="Arial"/>
                <w:b/>
                <w:i/>
                <w:iCs/>
                <w:sz w:val="16"/>
                <w:szCs w:val="16"/>
              </w:rPr>
              <w:t>Program Peningkatan Pengembangan Sistem Pelaporan Capaian Kinerja Keuangan</w:t>
            </w:r>
          </w:p>
        </w:tc>
        <w:tc>
          <w:tcPr>
            <w:tcW w:w="1276" w:type="dxa"/>
            <w:shd w:val="clear" w:color="auto" w:fill="EBF1DE" w:themeFill="accent3" w:themeFillTint="32"/>
          </w:tcPr>
          <w:p>
            <w:pPr>
              <w:pStyle w:val="30"/>
              <w:spacing w:before="60" w:after="60" w:line="240" w:lineRule="auto"/>
              <w:ind w:left="0"/>
              <w:contextualSpacing w:val="0"/>
              <w:jc w:val="both"/>
              <w:rPr>
                <w:rFonts w:ascii="Arial" w:hAnsi="Arial" w:cs="Arial"/>
                <w:b/>
                <w:i/>
                <w:iCs/>
                <w:sz w:val="16"/>
                <w:szCs w:val="16"/>
              </w:rPr>
            </w:pPr>
            <w:r>
              <w:rPr>
                <w:rFonts w:ascii="Arial" w:hAnsi="Arial" w:cs="Arial"/>
                <w:b/>
                <w:i/>
                <w:iCs/>
                <w:sz w:val="15"/>
                <w:szCs w:val="15"/>
              </w:rPr>
              <w:t>Program Penunjang OPD</w:t>
            </w:r>
          </w:p>
        </w:tc>
        <w:tc>
          <w:tcPr>
            <w:tcW w:w="1181" w:type="dxa"/>
            <w:shd w:val="clear" w:color="auto" w:fill="EBF1DE" w:themeFill="accent3" w:themeFillTint="32"/>
          </w:tcPr>
          <w:p>
            <w:pPr>
              <w:pStyle w:val="30"/>
              <w:spacing w:before="60" w:after="60" w:line="240" w:lineRule="auto"/>
              <w:ind w:left="0"/>
              <w:contextualSpacing w:val="0"/>
              <w:rPr>
                <w:rFonts w:ascii="Arial" w:hAnsi="Arial" w:cs="Arial"/>
                <w:b/>
                <w:i/>
                <w:iCs/>
                <w:sz w:val="16"/>
                <w:szCs w:val="16"/>
              </w:rPr>
            </w:pPr>
          </w:p>
        </w:tc>
        <w:tc>
          <w:tcPr>
            <w:tcW w:w="1293" w:type="dxa"/>
            <w:shd w:val="clear" w:color="auto" w:fill="EBF1DE" w:themeFill="accent3" w:themeFillTint="32"/>
          </w:tcPr>
          <w:p>
            <w:pPr>
              <w:pStyle w:val="30"/>
              <w:spacing w:before="60" w:after="60" w:line="240" w:lineRule="auto"/>
              <w:ind w:left="0"/>
              <w:contextualSpacing w:val="0"/>
              <w:rPr>
                <w:rFonts w:ascii="Arial" w:hAnsi="Arial" w:cs="Arial"/>
                <w:b/>
                <w:i/>
                <w:iCs/>
                <w:sz w:val="15"/>
                <w:szCs w:val="15"/>
              </w:rPr>
            </w:pPr>
          </w:p>
        </w:tc>
        <w:tc>
          <w:tcPr>
            <w:tcW w:w="1028"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445"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387"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294"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1</w:t>
            </w:r>
          </w:p>
        </w:tc>
        <w:tc>
          <w:tcPr>
            <w:tcW w:w="1222"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Penyusunan Perencanaandan Penganggaran SKPD</w:t>
            </w:r>
          </w:p>
        </w:tc>
        <w:tc>
          <w:tcPr>
            <w:tcW w:w="1276"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Tersusunnya laporan penyusunan perencanaan berupa DPA, DPA Pergeseran, DPA Perubahan dan Renja</w:t>
            </w:r>
            <w:r>
              <w:rPr>
                <w:rFonts w:ascii="Arial" w:hAnsi="Arial" w:cs="Arial"/>
                <w:sz w:val="16"/>
                <w:szCs w:val="16"/>
              </w:rPr>
              <w:t xml:space="preserve"> masing-masing sebanyak 50;50;50;30 dokumen</w:t>
            </w:r>
          </w:p>
        </w:tc>
        <w:tc>
          <w:tcPr>
            <w:tcW w:w="1293"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Tersusunnya laporan penyusunan perencanaan berupa DPA, DPA Pergeseran, DPA Perubahan dan Renja</w:t>
            </w:r>
            <w:r>
              <w:rPr>
                <w:rFonts w:ascii="Arial" w:hAnsi="Arial" w:cs="Arial"/>
                <w:sz w:val="16"/>
                <w:szCs w:val="16"/>
              </w:rPr>
              <w:t xml:space="preserve"> masing-masing sebanyak 50;50;50;30 dokumen</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82.100.100,00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77.766.308,00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94,72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2</w:t>
            </w:r>
          </w:p>
        </w:tc>
        <w:tc>
          <w:tcPr>
            <w:tcW w:w="1222"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Penatausahaan Keuangan SKPD</w:t>
            </w:r>
          </w:p>
        </w:tc>
        <w:tc>
          <w:tcPr>
            <w:tcW w:w="1276"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Tersusunnya laporan bendahara pengeluaran dan laporan keuangan</w:t>
            </w:r>
            <w:r>
              <w:rPr>
                <w:rFonts w:ascii="Arial" w:hAnsi="Arial" w:cs="Arial"/>
                <w:sz w:val="16"/>
                <w:szCs w:val="16"/>
              </w:rPr>
              <w:t xml:space="preserve"> masing-masing sebanyak 36 eksemplar</w:t>
            </w:r>
          </w:p>
        </w:tc>
        <w:tc>
          <w:tcPr>
            <w:tcW w:w="1293" w:type="dxa"/>
          </w:tcPr>
          <w:p>
            <w:pPr>
              <w:pStyle w:val="30"/>
              <w:spacing w:before="60" w:after="60" w:line="240" w:lineRule="auto"/>
              <w:ind w:left="0"/>
              <w:contextualSpacing w:val="0"/>
              <w:rPr>
                <w:rFonts w:ascii="Arial" w:hAnsi="Arial" w:cs="Arial"/>
                <w:bCs/>
                <w:sz w:val="15"/>
                <w:szCs w:val="15"/>
              </w:rPr>
            </w:pPr>
            <w:r>
              <w:rPr>
                <w:rFonts w:ascii="Arial" w:hAnsi="Arial" w:eastAsia="Times New Roman" w:cs="Arial"/>
                <w:sz w:val="16"/>
                <w:szCs w:val="16"/>
              </w:rPr>
              <w:t>Tersusunnya laporan bendahara pengeluaran dan laporan keuangan</w:t>
            </w:r>
            <w:r>
              <w:rPr>
                <w:rFonts w:ascii="Arial" w:hAnsi="Arial" w:cs="Arial"/>
                <w:sz w:val="16"/>
                <w:szCs w:val="16"/>
              </w:rPr>
              <w:t xml:space="preserve"> masing-masing sebanyak 36 eksemplar</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1.209.144.829,00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1.139.152.667,00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94,21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trPr>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3</w:t>
            </w:r>
          </w:p>
        </w:tc>
        <w:tc>
          <w:tcPr>
            <w:tcW w:w="1222"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Penyusunan Laporan Capaian Kinerja dan Ikhtisar Realisasi Kinerja SKPD</w:t>
            </w:r>
          </w:p>
        </w:tc>
        <w:tc>
          <w:tcPr>
            <w:tcW w:w="1276"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rPr>
                <w:rFonts w:ascii="Arial" w:hAnsi="Arial" w:cs="Arial"/>
                <w:bCs/>
                <w:sz w:val="16"/>
                <w:szCs w:val="16"/>
              </w:rPr>
            </w:pPr>
            <w:r>
              <w:rPr>
                <w:rFonts w:ascii="Arial" w:hAnsi="Arial" w:cs="Arial"/>
                <w:sz w:val="16"/>
                <w:szCs w:val="16"/>
              </w:rPr>
              <w:t>1 laporan</w:t>
            </w:r>
          </w:p>
        </w:tc>
        <w:tc>
          <w:tcPr>
            <w:tcW w:w="1293" w:type="dxa"/>
          </w:tcPr>
          <w:p>
            <w:pPr>
              <w:pStyle w:val="30"/>
              <w:spacing w:before="60" w:after="60" w:line="240" w:lineRule="auto"/>
              <w:ind w:left="0"/>
              <w:contextualSpacing w:val="0"/>
              <w:rPr>
                <w:rFonts w:ascii="Arial" w:hAnsi="Arial" w:cs="Arial"/>
                <w:bCs/>
                <w:sz w:val="16"/>
                <w:szCs w:val="16"/>
              </w:rPr>
            </w:pPr>
            <w:r>
              <w:rPr>
                <w:rFonts w:ascii="Arial" w:hAnsi="Arial" w:cs="Arial"/>
                <w:sz w:val="16"/>
                <w:szCs w:val="16"/>
              </w:rPr>
              <w:t>1 laporan</w:t>
            </w:r>
          </w:p>
        </w:tc>
        <w:tc>
          <w:tcPr>
            <w:tcW w:w="1028"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100</w:t>
            </w:r>
          </w:p>
        </w:tc>
        <w:tc>
          <w:tcPr>
            <w:tcW w:w="1445"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78.018.451,00</w:t>
            </w:r>
          </w:p>
        </w:tc>
        <w:tc>
          <w:tcPr>
            <w:tcW w:w="1387"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75.696.000,00</w:t>
            </w:r>
          </w:p>
        </w:tc>
        <w:tc>
          <w:tcPr>
            <w:tcW w:w="1294"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97,02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4</w:t>
            </w:r>
          </w:p>
        </w:tc>
        <w:tc>
          <w:tcPr>
            <w:tcW w:w="1222"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Pengelolaan, Pengawasan, dan Pengendalian Aset SKPD</w:t>
            </w:r>
          </w:p>
        </w:tc>
        <w:tc>
          <w:tcPr>
            <w:tcW w:w="1276"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5"/>
                <w:szCs w:val="15"/>
              </w:rPr>
              <w:t>Kegiatan Penunjang OPD</w:t>
            </w:r>
          </w:p>
        </w:tc>
        <w:tc>
          <w:tcPr>
            <w:tcW w:w="1181" w:type="dxa"/>
          </w:tcPr>
          <w:p>
            <w:pPr>
              <w:pStyle w:val="30"/>
              <w:spacing w:before="60" w:after="60" w:line="240" w:lineRule="auto"/>
              <w:ind w:left="0"/>
              <w:contextualSpacing w:val="0"/>
              <w:jc w:val="left"/>
              <w:rPr>
                <w:rFonts w:ascii="Arial" w:hAnsi="Arial" w:cs="Arial"/>
                <w:bCs/>
                <w:sz w:val="16"/>
                <w:szCs w:val="16"/>
              </w:rPr>
            </w:pPr>
            <w:r>
              <w:rPr>
                <w:rFonts w:ascii="Arial" w:hAnsi="Arial" w:eastAsia="Times New Roman" w:cs="Arial"/>
                <w:sz w:val="16"/>
                <w:szCs w:val="16"/>
              </w:rPr>
              <w:t>Terlaksananya pengelolaan, pengawasan dan pengendalian aset SKPD</w:t>
            </w:r>
            <w:r>
              <w:rPr>
                <w:rFonts w:ascii="Arial" w:hAnsi="Arial" w:cs="Arial"/>
                <w:sz w:val="16"/>
                <w:szCs w:val="16"/>
              </w:rPr>
              <w:t xml:space="preserve"> sebanyak 19 unit</w:t>
            </w:r>
          </w:p>
        </w:tc>
        <w:tc>
          <w:tcPr>
            <w:tcW w:w="1293" w:type="dxa"/>
          </w:tcPr>
          <w:p>
            <w:pPr>
              <w:pStyle w:val="30"/>
              <w:spacing w:before="60" w:after="60" w:line="240" w:lineRule="auto"/>
              <w:ind w:left="0"/>
              <w:contextualSpacing w:val="0"/>
              <w:jc w:val="left"/>
              <w:rPr>
                <w:rFonts w:ascii="Arial" w:hAnsi="Arial" w:cs="Arial"/>
                <w:bCs/>
                <w:sz w:val="16"/>
                <w:szCs w:val="16"/>
              </w:rPr>
            </w:pPr>
            <w:r>
              <w:rPr>
                <w:rFonts w:ascii="Arial" w:hAnsi="Arial" w:eastAsia="Times New Roman" w:cs="Arial"/>
                <w:sz w:val="16"/>
                <w:szCs w:val="16"/>
              </w:rPr>
              <w:t>Terlaksananya pengelolaan, pengawasan dan pengendalian aset SKPD</w:t>
            </w:r>
            <w:r>
              <w:rPr>
                <w:rFonts w:ascii="Arial" w:hAnsi="Arial" w:cs="Arial"/>
                <w:sz w:val="16"/>
                <w:szCs w:val="16"/>
              </w:rPr>
              <w:t xml:space="preserve"> sebanyak 19 unit</w:t>
            </w:r>
          </w:p>
        </w:tc>
        <w:tc>
          <w:tcPr>
            <w:tcW w:w="1028"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100</w:t>
            </w:r>
          </w:p>
        </w:tc>
        <w:tc>
          <w:tcPr>
            <w:tcW w:w="1445"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259.012.300,00</w:t>
            </w:r>
          </w:p>
        </w:tc>
        <w:tc>
          <w:tcPr>
            <w:tcW w:w="1387"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244.778.082,00</w:t>
            </w:r>
          </w:p>
        </w:tc>
        <w:tc>
          <w:tcPr>
            <w:tcW w:w="1294"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94,50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shd w:val="clear" w:color="auto" w:fill="EBF1DE" w:themeFill="accent3" w:themeFillTint="32"/>
          </w:tcPr>
          <w:p>
            <w:pPr>
              <w:pStyle w:val="30"/>
              <w:spacing w:before="60" w:after="60" w:line="240" w:lineRule="auto"/>
              <w:ind w:left="150" w:right="-105"/>
              <w:contextualSpacing w:val="0"/>
              <w:jc w:val="both"/>
              <w:rPr>
                <w:rFonts w:ascii="Arial" w:hAnsi="Arial" w:eastAsia="Times New Roman" w:cs="Arial"/>
                <w:b/>
                <w:i/>
                <w:iCs/>
                <w:sz w:val="15"/>
                <w:szCs w:val="15"/>
              </w:rPr>
            </w:pPr>
            <w:r>
              <w:rPr>
                <w:rFonts w:ascii="Arial" w:hAnsi="Arial" w:cs="Arial"/>
                <w:b/>
                <w:i/>
                <w:iCs/>
                <w:sz w:val="15"/>
                <w:szCs w:val="15"/>
              </w:rPr>
              <w:t>VI</w:t>
            </w:r>
          </w:p>
        </w:tc>
        <w:tc>
          <w:tcPr>
            <w:tcW w:w="1222" w:type="dxa"/>
            <w:shd w:val="clear" w:color="auto" w:fill="EBF1DE" w:themeFill="accent3" w:themeFillTint="32"/>
          </w:tcPr>
          <w:p>
            <w:pPr>
              <w:pStyle w:val="30"/>
              <w:spacing w:before="60" w:after="60" w:line="240" w:lineRule="auto"/>
              <w:ind w:left="0"/>
              <w:contextualSpacing w:val="0"/>
              <w:rPr>
                <w:rFonts w:ascii="Arial" w:hAnsi="Arial" w:eastAsia="Times New Roman" w:cs="Arial"/>
                <w:b/>
                <w:i/>
                <w:iCs/>
                <w:sz w:val="16"/>
                <w:szCs w:val="16"/>
              </w:rPr>
            </w:pPr>
            <w:r>
              <w:rPr>
                <w:rFonts w:ascii="Arial" w:hAnsi="Arial" w:cs="Arial"/>
                <w:b/>
                <w:i/>
                <w:iCs/>
                <w:sz w:val="16"/>
                <w:szCs w:val="16"/>
              </w:rPr>
              <w:t>Program Peningkatan Kualitas Pengelolaan Keuangan Daerah</w:t>
            </w:r>
          </w:p>
        </w:tc>
        <w:tc>
          <w:tcPr>
            <w:tcW w:w="1276" w:type="dxa"/>
            <w:shd w:val="clear" w:color="auto" w:fill="EBF1DE" w:themeFill="accent3" w:themeFillTint="32"/>
          </w:tcPr>
          <w:p>
            <w:pPr>
              <w:pStyle w:val="30"/>
              <w:spacing w:before="60" w:after="60" w:line="240" w:lineRule="auto"/>
              <w:ind w:left="0"/>
              <w:contextualSpacing w:val="0"/>
              <w:jc w:val="both"/>
              <w:rPr>
                <w:rFonts w:ascii="Arial" w:hAnsi="Arial" w:cs="Arial"/>
                <w:b/>
                <w:i/>
                <w:iCs/>
                <w:sz w:val="16"/>
                <w:szCs w:val="16"/>
              </w:rPr>
            </w:pPr>
          </w:p>
        </w:tc>
        <w:tc>
          <w:tcPr>
            <w:tcW w:w="1181" w:type="dxa"/>
            <w:shd w:val="clear" w:color="auto" w:fill="EBF1DE" w:themeFill="accent3" w:themeFillTint="32"/>
          </w:tcPr>
          <w:p>
            <w:pPr>
              <w:pStyle w:val="30"/>
              <w:spacing w:before="60" w:after="60" w:line="240" w:lineRule="auto"/>
              <w:ind w:left="0"/>
              <w:contextualSpacing w:val="0"/>
              <w:rPr>
                <w:rFonts w:ascii="Arial" w:hAnsi="Arial" w:cs="Arial"/>
                <w:b/>
                <w:i/>
                <w:iCs/>
                <w:sz w:val="16"/>
                <w:szCs w:val="16"/>
              </w:rPr>
            </w:pPr>
          </w:p>
        </w:tc>
        <w:tc>
          <w:tcPr>
            <w:tcW w:w="1293" w:type="dxa"/>
            <w:shd w:val="clear" w:color="auto" w:fill="EBF1DE" w:themeFill="accent3" w:themeFillTint="32"/>
          </w:tcPr>
          <w:p>
            <w:pPr>
              <w:pStyle w:val="30"/>
              <w:spacing w:before="60" w:after="60" w:line="240" w:lineRule="auto"/>
              <w:ind w:left="0"/>
              <w:contextualSpacing w:val="0"/>
              <w:rPr>
                <w:rFonts w:ascii="Arial" w:hAnsi="Arial" w:cs="Arial"/>
                <w:b/>
                <w:i/>
                <w:iCs/>
                <w:sz w:val="15"/>
                <w:szCs w:val="15"/>
              </w:rPr>
            </w:pPr>
          </w:p>
        </w:tc>
        <w:tc>
          <w:tcPr>
            <w:tcW w:w="1028"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445"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387"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294"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1</w:t>
            </w:r>
          </w:p>
        </w:tc>
        <w:tc>
          <w:tcPr>
            <w:tcW w:w="1222"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Pembinaan dan Evaluasi Penyelenggaraan Badan Layanan Umum Daerah (BLUD)</w:t>
            </w:r>
          </w:p>
        </w:tc>
        <w:tc>
          <w:tcPr>
            <w:tcW w:w="1276" w:type="dxa"/>
            <w:vAlign w:val="center"/>
          </w:tcPr>
          <w:p>
            <w:pPr>
              <w:jc w:val="left"/>
              <w:rPr>
                <w:rFonts w:ascii="Arial" w:hAnsi="Arial" w:eastAsia="Times New Roman" w:cs="Arial"/>
                <w:bCs/>
                <w:sz w:val="16"/>
                <w:szCs w:val="16"/>
              </w:rPr>
            </w:pPr>
            <w:r>
              <w:rPr>
                <w:rFonts w:ascii="Arial" w:hAnsi="Arial" w:eastAsia="Times New Roman"/>
                <w:bCs/>
                <w:sz w:val="16"/>
                <w:szCs w:val="16"/>
              </w:rPr>
              <w:t>Permendagri Nomor 13 Tahun 2006 sebagaimana telah diubah Permendagri Nomor 21 Tahun 2011, Perda Nomor 10 Tahun 2008</w:t>
            </w:r>
          </w:p>
        </w:tc>
        <w:tc>
          <w:tcPr>
            <w:tcW w:w="1181"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Tidak terlaksana karena termasuk kegiatan yang terdampak rasionalisasi penanganan Covid-19</w:t>
            </w:r>
          </w:p>
        </w:tc>
        <w:tc>
          <w:tcPr>
            <w:tcW w:w="1293"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Tidak terlaksana karena termasuk kegiatan yang terdampak rasionalisasi penanganan Covid-19</w:t>
            </w:r>
          </w:p>
        </w:tc>
        <w:tc>
          <w:tcPr>
            <w:tcW w:w="1028" w:type="dxa"/>
          </w:tcPr>
          <w:p>
            <w:pPr>
              <w:pStyle w:val="30"/>
              <w:spacing w:before="60" w:after="60" w:line="240" w:lineRule="auto"/>
              <w:ind w:left="0"/>
              <w:contextualSpacing w:val="0"/>
              <w:jc w:val="both"/>
              <w:rPr>
                <w:rFonts w:ascii="Arial" w:hAnsi="Arial" w:cs="Arial"/>
                <w:bCs/>
                <w:sz w:val="16"/>
                <w:szCs w:val="16"/>
              </w:rPr>
            </w:pPr>
          </w:p>
        </w:tc>
        <w:tc>
          <w:tcPr>
            <w:tcW w:w="1445" w:type="dxa"/>
          </w:tcPr>
          <w:p>
            <w:pPr>
              <w:pStyle w:val="30"/>
              <w:spacing w:before="60" w:after="60" w:line="240" w:lineRule="auto"/>
              <w:ind w:left="0"/>
              <w:contextualSpacing w:val="0"/>
              <w:jc w:val="both"/>
              <w:rPr>
                <w:rFonts w:ascii="Arial" w:hAnsi="Arial" w:cs="Arial"/>
                <w:bCs/>
                <w:sz w:val="16"/>
                <w:szCs w:val="16"/>
              </w:rPr>
            </w:pPr>
          </w:p>
        </w:tc>
        <w:tc>
          <w:tcPr>
            <w:tcW w:w="1387" w:type="dxa"/>
          </w:tcPr>
          <w:p>
            <w:pPr>
              <w:pStyle w:val="30"/>
              <w:spacing w:before="60" w:after="60" w:line="240" w:lineRule="auto"/>
              <w:ind w:left="0"/>
              <w:contextualSpacing w:val="0"/>
              <w:jc w:val="both"/>
              <w:rPr>
                <w:rFonts w:ascii="Arial" w:hAnsi="Arial" w:cs="Arial"/>
                <w:bCs/>
                <w:sz w:val="16"/>
                <w:szCs w:val="16"/>
              </w:rPr>
            </w:pPr>
          </w:p>
        </w:tc>
        <w:tc>
          <w:tcPr>
            <w:tcW w:w="1294" w:type="dxa"/>
          </w:tcPr>
          <w:p>
            <w:pPr>
              <w:pStyle w:val="30"/>
              <w:spacing w:before="60" w:after="60" w:line="240" w:lineRule="auto"/>
              <w:ind w:left="0"/>
              <w:contextualSpacing w:val="0"/>
              <w:jc w:val="both"/>
              <w:rPr>
                <w:rFonts w:ascii="Arial" w:hAnsi="Arial" w:cs="Arial"/>
                <w:bCs/>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2</w:t>
            </w:r>
          </w:p>
        </w:tc>
        <w:tc>
          <w:tcPr>
            <w:tcW w:w="1222"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Penyusunan Peraturan Gubernur tentang Penjabaran APBD</w:t>
            </w:r>
          </w:p>
        </w:tc>
        <w:tc>
          <w:tcPr>
            <w:tcW w:w="1276" w:type="dxa"/>
          </w:tcPr>
          <w:p>
            <w:pPr>
              <w:jc w:val="left"/>
              <w:rPr>
                <w:rFonts w:ascii="Arial" w:hAnsi="Arial" w:eastAsia="Times New Roman" w:cs="Arial"/>
                <w:bCs/>
                <w:sz w:val="16"/>
                <w:szCs w:val="16"/>
              </w:rPr>
            </w:pPr>
            <w:r>
              <w:rPr>
                <w:rFonts w:ascii="Arial" w:hAnsi="Arial" w:eastAsia="Times New Roman"/>
                <w:bCs/>
                <w:sz w:val="16"/>
                <w:szCs w:val="16"/>
              </w:rPr>
              <w:t>Permendagri Nomor 13 Tahun 2006 sebagaimana telah diubah Permendagri Nomor 21 Tahun 2011, Perda Nomor 10 Tahun 2008</w:t>
            </w:r>
          </w:p>
        </w:tc>
        <w:tc>
          <w:tcPr>
            <w:tcW w:w="1181" w:type="dxa"/>
          </w:tcPr>
          <w:p>
            <w:pPr>
              <w:pStyle w:val="30"/>
              <w:spacing w:before="60" w:after="60" w:line="240" w:lineRule="auto"/>
              <w:ind w:left="0"/>
              <w:contextualSpacing w:val="0"/>
              <w:rPr>
                <w:rFonts w:ascii="Arial" w:hAnsi="Arial" w:cs="Arial"/>
                <w:bCs/>
                <w:sz w:val="16"/>
                <w:szCs w:val="16"/>
              </w:rPr>
            </w:pPr>
            <w:r>
              <w:rPr>
                <w:rFonts w:ascii="Arial" w:hAnsi="Arial" w:cs="Arial"/>
                <w:bCs/>
                <w:sz w:val="16"/>
                <w:szCs w:val="16"/>
              </w:rPr>
              <w:t>1 dokumen</w:t>
            </w:r>
          </w:p>
        </w:tc>
        <w:tc>
          <w:tcPr>
            <w:tcW w:w="1293" w:type="dxa"/>
          </w:tcPr>
          <w:p>
            <w:pPr>
              <w:pStyle w:val="30"/>
              <w:spacing w:before="60" w:after="60" w:line="240" w:lineRule="auto"/>
              <w:ind w:left="0"/>
              <w:contextualSpacing w:val="0"/>
              <w:rPr>
                <w:rFonts w:ascii="Arial" w:hAnsi="Arial" w:cs="Arial"/>
                <w:bCs/>
                <w:sz w:val="16"/>
                <w:szCs w:val="16"/>
              </w:rPr>
            </w:pPr>
            <w:r>
              <w:rPr>
                <w:rFonts w:ascii="Arial" w:hAnsi="Arial" w:cs="Arial"/>
                <w:bCs/>
                <w:sz w:val="16"/>
                <w:szCs w:val="16"/>
              </w:rPr>
              <w:t>1 dokumen</w:t>
            </w:r>
          </w:p>
        </w:tc>
        <w:tc>
          <w:tcPr>
            <w:tcW w:w="1028"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100</w:t>
            </w:r>
          </w:p>
        </w:tc>
        <w:tc>
          <w:tcPr>
            <w:tcW w:w="1445"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120.684.800,00</w:t>
            </w:r>
          </w:p>
        </w:tc>
        <w:tc>
          <w:tcPr>
            <w:tcW w:w="1387"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119.388.252,00</w:t>
            </w:r>
          </w:p>
        </w:tc>
        <w:tc>
          <w:tcPr>
            <w:tcW w:w="1294"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98,93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3</w:t>
            </w:r>
          </w:p>
        </w:tc>
        <w:tc>
          <w:tcPr>
            <w:tcW w:w="1222" w:type="dxa"/>
          </w:tcPr>
          <w:p>
            <w:pPr>
              <w:rPr>
                <w:rFonts w:ascii="Arial" w:hAnsi="Arial" w:eastAsia="Times New Roman" w:cs="Arial"/>
                <w:sz w:val="16"/>
                <w:szCs w:val="16"/>
              </w:rPr>
            </w:pPr>
            <w:r>
              <w:rPr>
                <w:rFonts w:ascii="Arial" w:hAnsi="Arial" w:eastAsia="Times New Roman" w:cs="Arial"/>
                <w:sz w:val="16"/>
                <w:szCs w:val="16"/>
              </w:rPr>
              <w:t>Pelaksanaan Penyelesaian Kerugian Daerah/Negara</w:t>
            </w:r>
          </w:p>
        </w:tc>
        <w:tc>
          <w:tcPr>
            <w:tcW w:w="1276" w:type="dxa"/>
          </w:tcPr>
          <w:p>
            <w:pPr>
              <w:rPr>
                <w:rFonts w:ascii="Arial" w:hAnsi="Arial" w:eastAsia="Times New Roman" w:cs="Arial"/>
                <w:bCs/>
                <w:sz w:val="16"/>
                <w:szCs w:val="16"/>
              </w:rPr>
            </w:pPr>
          </w:p>
        </w:tc>
        <w:tc>
          <w:tcPr>
            <w:tcW w:w="1181" w:type="dxa"/>
          </w:tcPr>
          <w:p>
            <w:pPr>
              <w:rPr>
                <w:rFonts w:ascii="Arial" w:hAnsi="Arial" w:eastAsia="Times New Roman" w:cs="Arial"/>
                <w:sz w:val="16"/>
                <w:szCs w:val="16"/>
              </w:rPr>
            </w:pPr>
            <w:r>
              <w:rPr>
                <w:rFonts w:ascii="Arial" w:hAnsi="Arial" w:eastAsia="Times New Roman" w:cs="Arial"/>
                <w:sz w:val="16"/>
                <w:szCs w:val="16"/>
              </w:rPr>
              <w:t>Tidak terlaksana karena termasuk kegiatan yang terdampak rasionalisasi penanganan Covid-19</w:t>
            </w:r>
          </w:p>
        </w:tc>
        <w:tc>
          <w:tcPr>
            <w:tcW w:w="1293" w:type="dxa"/>
          </w:tcPr>
          <w:p>
            <w:pPr>
              <w:rPr>
                <w:rFonts w:ascii="Arial" w:hAnsi="Arial" w:cs="Arial"/>
                <w:bCs/>
                <w:sz w:val="16"/>
                <w:szCs w:val="16"/>
              </w:rPr>
            </w:pPr>
            <w:r>
              <w:rPr>
                <w:rFonts w:ascii="Arial" w:hAnsi="Arial" w:eastAsia="Times New Roman" w:cs="Arial"/>
                <w:sz w:val="16"/>
                <w:szCs w:val="16"/>
              </w:rPr>
              <w:t>Tidak terlaksana karena termasuk kegiatan yang terdampak rasionalisasi penanganan Covid-19</w:t>
            </w:r>
          </w:p>
        </w:tc>
        <w:tc>
          <w:tcPr>
            <w:tcW w:w="1028" w:type="dxa"/>
          </w:tcPr>
          <w:p>
            <w:pPr>
              <w:pStyle w:val="30"/>
              <w:spacing w:before="60" w:after="60" w:line="240" w:lineRule="auto"/>
              <w:ind w:left="0"/>
              <w:contextualSpacing w:val="0"/>
              <w:jc w:val="both"/>
              <w:rPr>
                <w:rFonts w:ascii="Arial" w:hAnsi="Arial" w:cs="Arial"/>
                <w:bCs/>
                <w:sz w:val="16"/>
                <w:szCs w:val="16"/>
              </w:rPr>
            </w:pPr>
          </w:p>
        </w:tc>
        <w:tc>
          <w:tcPr>
            <w:tcW w:w="1445" w:type="dxa"/>
          </w:tcPr>
          <w:p>
            <w:pPr>
              <w:pStyle w:val="30"/>
              <w:spacing w:before="60" w:after="60" w:line="240" w:lineRule="auto"/>
              <w:ind w:left="0"/>
              <w:contextualSpacing w:val="0"/>
              <w:jc w:val="both"/>
              <w:rPr>
                <w:rFonts w:ascii="Arial" w:hAnsi="Arial" w:cs="Arial"/>
                <w:bCs/>
                <w:sz w:val="16"/>
                <w:szCs w:val="16"/>
              </w:rPr>
            </w:pPr>
          </w:p>
        </w:tc>
        <w:tc>
          <w:tcPr>
            <w:tcW w:w="1387" w:type="dxa"/>
          </w:tcPr>
          <w:p>
            <w:pPr>
              <w:pStyle w:val="30"/>
              <w:spacing w:before="60" w:after="60" w:line="240" w:lineRule="auto"/>
              <w:ind w:left="0"/>
              <w:contextualSpacing w:val="0"/>
              <w:jc w:val="both"/>
              <w:rPr>
                <w:rFonts w:ascii="Arial" w:hAnsi="Arial" w:cs="Arial"/>
                <w:bCs/>
                <w:sz w:val="16"/>
                <w:szCs w:val="16"/>
              </w:rPr>
            </w:pPr>
          </w:p>
        </w:tc>
        <w:tc>
          <w:tcPr>
            <w:tcW w:w="1294" w:type="dxa"/>
          </w:tcPr>
          <w:p>
            <w:pPr>
              <w:pStyle w:val="30"/>
              <w:spacing w:before="60" w:after="60" w:line="240" w:lineRule="auto"/>
              <w:ind w:left="0"/>
              <w:contextualSpacing w:val="0"/>
              <w:jc w:val="both"/>
              <w:rPr>
                <w:rFonts w:ascii="Arial" w:hAnsi="Arial" w:cs="Arial"/>
                <w:bCs/>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4</w:t>
            </w:r>
          </w:p>
        </w:tc>
        <w:tc>
          <w:tcPr>
            <w:tcW w:w="1222" w:type="dxa"/>
          </w:tcPr>
          <w:p>
            <w:pPr>
              <w:jc w:val="both"/>
              <w:rPr>
                <w:rFonts w:ascii="Arial" w:hAnsi="Arial" w:eastAsia="Times New Roman" w:cs="Arial"/>
                <w:sz w:val="16"/>
                <w:szCs w:val="16"/>
              </w:rPr>
            </w:pPr>
            <w:r>
              <w:rPr>
                <w:rFonts w:ascii="Arial" w:hAnsi="Arial" w:eastAsia="Times New Roman" w:cs="Arial"/>
                <w:sz w:val="16"/>
                <w:szCs w:val="16"/>
              </w:rPr>
              <w:t>Bimbingan Teknis dan Pelatihan Peningkatan SDM Berbasis Teknologi Informasi</w:t>
            </w:r>
          </w:p>
        </w:tc>
        <w:tc>
          <w:tcPr>
            <w:tcW w:w="1276" w:type="dxa"/>
          </w:tcPr>
          <w:p>
            <w:pPr>
              <w:pStyle w:val="30"/>
              <w:numPr>
                <w:ilvl w:val="0"/>
                <w:numId w:val="45"/>
              </w:numPr>
              <w:spacing w:before="60" w:after="60" w:line="240" w:lineRule="auto"/>
              <w:ind w:left="0"/>
              <w:rPr>
                <w:rFonts w:ascii="Arial" w:hAnsi="Arial" w:cs="Arial"/>
                <w:bCs/>
                <w:sz w:val="16"/>
                <w:szCs w:val="16"/>
              </w:rPr>
            </w:pPr>
            <w:r>
              <w:rPr>
                <w:rFonts w:ascii="Arial" w:hAnsi="Arial" w:cs="Arial"/>
                <w:bCs/>
                <w:sz w:val="16"/>
                <w:szCs w:val="16"/>
              </w:rPr>
              <w:t>PMK Nomor 74/PMK.07/2016</w:t>
            </w:r>
          </w:p>
          <w:p>
            <w:pPr>
              <w:pStyle w:val="30"/>
              <w:numPr>
                <w:ilvl w:val="0"/>
                <w:numId w:val="45"/>
              </w:numPr>
              <w:spacing w:before="60" w:after="60" w:line="240" w:lineRule="auto"/>
              <w:ind w:left="0"/>
              <w:rPr>
                <w:rFonts w:ascii="Arial" w:hAnsi="Arial" w:eastAsia="Times New Roman" w:cs="Arial"/>
                <w:bCs/>
                <w:sz w:val="16"/>
                <w:szCs w:val="16"/>
              </w:rPr>
            </w:pPr>
            <w:r>
              <w:rPr>
                <w:rFonts w:ascii="Arial" w:hAnsi="Arial" w:cs="Arial"/>
                <w:bCs/>
                <w:sz w:val="16"/>
                <w:szCs w:val="16"/>
                <w:lang w:val="id-ID"/>
              </w:rPr>
              <w:t xml:space="preserve">Pergub Nomor </w:t>
            </w:r>
            <w:r>
              <w:rPr>
                <w:rFonts w:ascii="Arial" w:hAnsi="Arial" w:cs="Arial"/>
                <w:bCs/>
                <w:sz w:val="16"/>
                <w:szCs w:val="16"/>
              </w:rPr>
              <w:t xml:space="preserve">31 Tahun 2019 </w:t>
            </w:r>
            <w:r>
              <w:rPr>
                <w:rFonts w:ascii="Arial" w:hAnsi="Arial" w:cs="Arial"/>
                <w:bCs/>
                <w:sz w:val="16"/>
                <w:szCs w:val="16"/>
                <w:lang w:val="id-ID"/>
              </w:rPr>
              <w:t>tentang</w:t>
            </w:r>
            <w:r>
              <w:rPr>
                <w:rFonts w:ascii="Arial" w:hAnsi="Arial" w:cs="Arial"/>
                <w:bCs/>
                <w:sz w:val="16"/>
                <w:szCs w:val="16"/>
              </w:rPr>
              <w:t xml:space="preserve"> Tata cara</w:t>
            </w:r>
            <w:r>
              <w:rPr>
                <w:rFonts w:ascii="Arial" w:hAnsi="Arial" w:cs="Arial"/>
                <w:bCs/>
                <w:sz w:val="16"/>
                <w:szCs w:val="16"/>
                <w:lang w:val="id-ID"/>
              </w:rPr>
              <w:t xml:space="preserve"> Pe</w:t>
            </w:r>
            <w:r>
              <w:rPr>
                <w:rFonts w:ascii="Arial" w:hAnsi="Arial" w:cs="Arial"/>
                <w:bCs/>
                <w:sz w:val="16"/>
                <w:szCs w:val="16"/>
              </w:rPr>
              <w:t xml:space="preserve">nyelenggaraan </w:t>
            </w:r>
            <w:r>
              <w:rPr>
                <w:rFonts w:ascii="Arial" w:hAnsi="Arial" w:cs="Arial"/>
                <w:bCs/>
                <w:sz w:val="16"/>
                <w:szCs w:val="16"/>
                <w:lang w:val="id-ID"/>
              </w:rPr>
              <w:t xml:space="preserve">Sistem informasi Keuangan Daerah dan </w:t>
            </w:r>
            <w:r>
              <w:rPr>
                <w:rFonts w:ascii="Arial" w:hAnsi="Arial" w:cs="Arial"/>
                <w:bCs/>
                <w:sz w:val="16"/>
                <w:szCs w:val="16"/>
              </w:rPr>
              <w:t>3.</w:t>
            </w:r>
            <w:r>
              <w:rPr>
                <w:rFonts w:ascii="Arial" w:hAnsi="Arial" w:cs="Arial"/>
                <w:bCs/>
                <w:sz w:val="16"/>
                <w:szCs w:val="16"/>
                <w:lang w:val="id-ID"/>
              </w:rPr>
              <w:t xml:space="preserve">Pergub Nomor </w:t>
            </w:r>
            <w:r>
              <w:rPr>
                <w:rFonts w:ascii="Arial" w:hAnsi="Arial" w:cs="Arial"/>
                <w:bCs/>
                <w:sz w:val="16"/>
                <w:szCs w:val="16"/>
              </w:rPr>
              <w:t xml:space="preserve">32 Tahun 2019 </w:t>
            </w:r>
            <w:r>
              <w:rPr>
                <w:rFonts w:ascii="Arial" w:hAnsi="Arial" w:cs="Arial"/>
                <w:bCs/>
                <w:sz w:val="16"/>
                <w:szCs w:val="16"/>
                <w:lang w:val="id-ID"/>
              </w:rPr>
              <w:t xml:space="preserve">tentang </w:t>
            </w:r>
            <w:r>
              <w:rPr>
                <w:rFonts w:ascii="Arial" w:hAnsi="Arial" w:cs="Arial"/>
                <w:bCs/>
                <w:sz w:val="16"/>
                <w:szCs w:val="16"/>
              </w:rPr>
              <w:t xml:space="preserve">Tata Cara </w:t>
            </w:r>
            <w:r>
              <w:rPr>
                <w:rFonts w:ascii="Arial" w:hAnsi="Arial" w:cs="Arial"/>
                <w:bCs/>
                <w:sz w:val="16"/>
                <w:szCs w:val="16"/>
                <w:lang w:val="id-ID"/>
              </w:rPr>
              <w:t xml:space="preserve">Peyelenggaraan Sistem Manunggal Satu Atap </w:t>
            </w:r>
            <w:r>
              <w:rPr>
                <w:rFonts w:ascii="Arial" w:hAnsi="Arial" w:cs="Arial"/>
                <w:bCs/>
                <w:sz w:val="16"/>
                <w:szCs w:val="16"/>
              </w:rPr>
              <w:t xml:space="preserve">Berbasis </w:t>
            </w:r>
            <w:r>
              <w:rPr>
                <w:rFonts w:ascii="Arial" w:hAnsi="Arial" w:cs="Arial"/>
                <w:bCs/>
                <w:sz w:val="16"/>
                <w:szCs w:val="16"/>
                <w:lang w:val="id-ID"/>
              </w:rPr>
              <w:t>elektronik</w:t>
            </w:r>
          </w:p>
        </w:tc>
        <w:tc>
          <w:tcPr>
            <w:tcW w:w="1181"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 xml:space="preserve">Terlaksananya bimbingan teknis untuk </w:t>
            </w:r>
            <w:r>
              <w:rPr>
                <w:rFonts w:ascii="Arial" w:hAnsi="Arial" w:cs="Arial"/>
                <w:sz w:val="16"/>
                <w:szCs w:val="16"/>
              </w:rPr>
              <w:t xml:space="preserve">2 orang </w:t>
            </w:r>
            <w:r>
              <w:rPr>
                <w:rFonts w:ascii="Arial" w:hAnsi="Arial" w:eastAsia="Times New Roman" w:cs="Arial"/>
                <w:sz w:val="16"/>
                <w:szCs w:val="16"/>
              </w:rPr>
              <w:t>tenaga teknis</w:t>
            </w:r>
          </w:p>
        </w:tc>
        <w:tc>
          <w:tcPr>
            <w:tcW w:w="1293"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 xml:space="preserve">Terlaksananya bimbingan teknis untuk </w:t>
            </w:r>
            <w:r>
              <w:rPr>
                <w:rFonts w:ascii="Arial" w:hAnsi="Arial" w:cs="Arial"/>
                <w:sz w:val="16"/>
                <w:szCs w:val="16"/>
              </w:rPr>
              <w:t xml:space="preserve">2 orang </w:t>
            </w:r>
            <w:r>
              <w:rPr>
                <w:rFonts w:ascii="Arial" w:hAnsi="Arial" w:eastAsia="Times New Roman" w:cs="Arial"/>
                <w:sz w:val="16"/>
                <w:szCs w:val="16"/>
              </w:rPr>
              <w:t>tenaga teknis</w:t>
            </w:r>
          </w:p>
        </w:tc>
        <w:tc>
          <w:tcPr>
            <w:tcW w:w="1028"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100</w:t>
            </w:r>
          </w:p>
        </w:tc>
        <w:tc>
          <w:tcPr>
            <w:tcW w:w="1445"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64.335.900,00</w:t>
            </w:r>
          </w:p>
        </w:tc>
        <w:tc>
          <w:tcPr>
            <w:tcW w:w="1387"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35.612.803,00</w:t>
            </w:r>
          </w:p>
        </w:tc>
        <w:tc>
          <w:tcPr>
            <w:tcW w:w="1294"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55,35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5</w:t>
            </w:r>
          </w:p>
        </w:tc>
        <w:tc>
          <w:tcPr>
            <w:tcW w:w="1222" w:type="dxa"/>
          </w:tcPr>
          <w:p>
            <w:pPr>
              <w:rPr>
                <w:rFonts w:ascii="Arial" w:hAnsi="Arial" w:eastAsia="Times New Roman" w:cs="Arial"/>
                <w:sz w:val="16"/>
                <w:szCs w:val="16"/>
              </w:rPr>
            </w:pPr>
            <w:r>
              <w:rPr>
                <w:rFonts w:ascii="Arial" w:hAnsi="Arial" w:eastAsia="Times New Roman" w:cs="Arial"/>
                <w:sz w:val="16"/>
                <w:szCs w:val="16"/>
              </w:rPr>
              <w:t>Penyusunan Peraturan Daerah tentang APBD</w:t>
            </w:r>
          </w:p>
        </w:tc>
        <w:tc>
          <w:tcPr>
            <w:tcW w:w="1276" w:type="dxa"/>
          </w:tcPr>
          <w:p>
            <w:pPr>
              <w:rPr>
                <w:rFonts w:ascii="Arial" w:hAnsi="Arial" w:eastAsia="Times New Roman" w:cs="Arial"/>
                <w:bCs/>
                <w:sz w:val="16"/>
                <w:szCs w:val="16"/>
              </w:rPr>
            </w:pPr>
            <w:r>
              <w:rPr>
                <w:rFonts w:ascii="Arial" w:hAnsi="Arial" w:eastAsia="Times New Roman"/>
                <w:bCs/>
                <w:sz w:val="16"/>
                <w:szCs w:val="16"/>
              </w:rPr>
              <w:t>Permendagri Nomor 13 Tahun 2006 sebagaimana telah diubah Permendagri Nomor 21 Tahun 2011, Perda Nomor 10 Tahun 2008</w:t>
            </w:r>
          </w:p>
        </w:tc>
        <w:tc>
          <w:tcPr>
            <w:tcW w:w="1181"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Tersusunnya dokumen keuangan daerah seperti pengantar nota keuangan</w:t>
            </w:r>
            <w:r>
              <w:rPr>
                <w:rFonts w:ascii="Arial" w:hAnsi="Arial" w:cs="Arial"/>
                <w:sz w:val="16"/>
                <w:szCs w:val="16"/>
              </w:rPr>
              <w:t xml:space="preserve"> sebanyak 110 buku</w:t>
            </w:r>
            <w:r>
              <w:rPr>
                <w:rFonts w:ascii="Arial" w:hAnsi="Arial" w:eastAsia="Times New Roman" w:cs="Arial"/>
                <w:sz w:val="16"/>
                <w:szCs w:val="16"/>
              </w:rPr>
              <w:t>, nota keuangan</w:t>
            </w:r>
            <w:r>
              <w:rPr>
                <w:rFonts w:ascii="Arial" w:hAnsi="Arial" w:cs="Arial"/>
                <w:sz w:val="16"/>
                <w:szCs w:val="16"/>
              </w:rPr>
              <w:t xml:space="preserve"> 110 buku</w:t>
            </w:r>
            <w:r>
              <w:rPr>
                <w:rFonts w:ascii="Arial" w:hAnsi="Arial" w:eastAsia="Times New Roman" w:cs="Arial"/>
                <w:sz w:val="16"/>
                <w:szCs w:val="16"/>
              </w:rPr>
              <w:t>, nota jawaban</w:t>
            </w:r>
            <w:r>
              <w:rPr>
                <w:rFonts w:ascii="Arial" w:hAnsi="Arial" w:cs="Arial"/>
                <w:sz w:val="16"/>
                <w:szCs w:val="16"/>
              </w:rPr>
              <w:t xml:space="preserve"> 110 buku</w:t>
            </w:r>
            <w:r>
              <w:rPr>
                <w:rFonts w:ascii="Arial" w:hAnsi="Arial" w:eastAsia="Times New Roman" w:cs="Arial"/>
                <w:sz w:val="16"/>
                <w:szCs w:val="16"/>
              </w:rPr>
              <w:t>, Peraturan Daerah tentang APBD</w:t>
            </w:r>
            <w:r>
              <w:rPr>
                <w:rFonts w:ascii="Arial" w:hAnsi="Arial" w:cs="Arial"/>
                <w:sz w:val="16"/>
                <w:szCs w:val="16"/>
              </w:rPr>
              <w:t xml:space="preserve"> 150 buku</w:t>
            </w:r>
            <w:r>
              <w:rPr>
                <w:rFonts w:ascii="Arial" w:hAnsi="Arial" w:eastAsia="Times New Roman" w:cs="Arial"/>
                <w:sz w:val="16"/>
                <w:szCs w:val="16"/>
              </w:rPr>
              <w:t>, dan Laporan Pelaksanaan Kegiatan</w:t>
            </w:r>
            <w:r>
              <w:rPr>
                <w:rFonts w:ascii="Arial" w:hAnsi="Arial" w:cs="Arial"/>
                <w:sz w:val="16"/>
                <w:szCs w:val="16"/>
              </w:rPr>
              <w:t xml:space="preserve"> 5 eksemplar</w:t>
            </w:r>
          </w:p>
        </w:tc>
        <w:tc>
          <w:tcPr>
            <w:tcW w:w="1293"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Tersusunnya dokumen keuangan daerah seperti pengantar nota keuangan</w:t>
            </w:r>
            <w:r>
              <w:rPr>
                <w:rFonts w:ascii="Arial" w:hAnsi="Arial" w:cs="Arial"/>
                <w:sz w:val="16"/>
                <w:szCs w:val="16"/>
              </w:rPr>
              <w:t xml:space="preserve"> sebanyak 110 buku</w:t>
            </w:r>
            <w:r>
              <w:rPr>
                <w:rFonts w:ascii="Arial" w:hAnsi="Arial" w:eastAsia="Times New Roman" w:cs="Arial"/>
                <w:sz w:val="16"/>
                <w:szCs w:val="16"/>
              </w:rPr>
              <w:t>, nota keuangan</w:t>
            </w:r>
            <w:r>
              <w:rPr>
                <w:rFonts w:ascii="Arial" w:hAnsi="Arial" w:cs="Arial"/>
                <w:sz w:val="16"/>
                <w:szCs w:val="16"/>
              </w:rPr>
              <w:t xml:space="preserve"> 110 buku</w:t>
            </w:r>
            <w:r>
              <w:rPr>
                <w:rFonts w:ascii="Arial" w:hAnsi="Arial" w:eastAsia="Times New Roman" w:cs="Arial"/>
                <w:sz w:val="16"/>
                <w:szCs w:val="16"/>
              </w:rPr>
              <w:t>, nota jawaban</w:t>
            </w:r>
            <w:r>
              <w:rPr>
                <w:rFonts w:ascii="Arial" w:hAnsi="Arial" w:cs="Arial"/>
                <w:sz w:val="16"/>
                <w:szCs w:val="16"/>
              </w:rPr>
              <w:t xml:space="preserve"> 110 buku</w:t>
            </w:r>
            <w:r>
              <w:rPr>
                <w:rFonts w:ascii="Arial" w:hAnsi="Arial" w:eastAsia="Times New Roman" w:cs="Arial"/>
                <w:sz w:val="16"/>
                <w:szCs w:val="16"/>
              </w:rPr>
              <w:t>, Peraturan Daerah tentang APBD</w:t>
            </w:r>
            <w:r>
              <w:rPr>
                <w:rFonts w:ascii="Arial" w:hAnsi="Arial" w:cs="Arial"/>
                <w:sz w:val="16"/>
                <w:szCs w:val="16"/>
              </w:rPr>
              <w:t xml:space="preserve"> 150 buku</w:t>
            </w:r>
            <w:r>
              <w:rPr>
                <w:rFonts w:ascii="Arial" w:hAnsi="Arial" w:eastAsia="Times New Roman" w:cs="Arial"/>
                <w:sz w:val="16"/>
                <w:szCs w:val="16"/>
              </w:rPr>
              <w:t>, dan Laporan Pelaksanaan Kegiatan</w:t>
            </w:r>
            <w:r>
              <w:rPr>
                <w:rFonts w:ascii="Arial" w:hAnsi="Arial" w:cs="Arial"/>
                <w:sz w:val="16"/>
                <w:szCs w:val="16"/>
              </w:rPr>
              <w:t xml:space="preserve"> 5 eksemplar</w:t>
            </w:r>
          </w:p>
        </w:tc>
        <w:tc>
          <w:tcPr>
            <w:tcW w:w="1028"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100</w:t>
            </w:r>
          </w:p>
        </w:tc>
        <w:tc>
          <w:tcPr>
            <w:tcW w:w="1445"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858.847.400,00</w:t>
            </w:r>
          </w:p>
        </w:tc>
        <w:tc>
          <w:tcPr>
            <w:tcW w:w="1387"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796.971.149,00</w:t>
            </w:r>
          </w:p>
        </w:tc>
        <w:tc>
          <w:tcPr>
            <w:tcW w:w="1294"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92,80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6</w:t>
            </w:r>
          </w:p>
        </w:tc>
        <w:tc>
          <w:tcPr>
            <w:tcW w:w="1222"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 xml:space="preserve">Penyusunan Peraturan Daerah tentang </w:t>
            </w:r>
            <w:r>
              <w:rPr>
                <w:rFonts w:ascii="Arial" w:hAnsi="Arial" w:cs="Arial"/>
                <w:sz w:val="16"/>
                <w:szCs w:val="16"/>
              </w:rPr>
              <w:t>Perubahan APBD</w:t>
            </w:r>
          </w:p>
        </w:tc>
        <w:tc>
          <w:tcPr>
            <w:tcW w:w="1276" w:type="dxa"/>
          </w:tcPr>
          <w:p>
            <w:pPr>
              <w:rPr>
                <w:rFonts w:ascii="Arial" w:hAnsi="Arial" w:eastAsia="Times New Roman" w:cs="Arial"/>
                <w:bCs/>
                <w:sz w:val="16"/>
                <w:szCs w:val="16"/>
              </w:rPr>
            </w:pPr>
            <w:r>
              <w:rPr>
                <w:rFonts w:ascii="Arial" w:hAnsi="Arial" w:eastAsia="Times New Roman"/>
                <w:bCs/>
                <w:sz w:val="16"/>
                <w:szCs w:val="16"/>
              </w:rPr>
              <w:t>Permendagri Nomor 13 Tahun 2006 sebagaimana telah diubah Permendagri Nomor 21 Tahun 2011, Perda Nomor 10 Tahun 2008</w:t>
            </w:r>
          </w:p>
        </w:tc>
        <w:tc>
          <w:tcPr>
            <w:tcW w:w="1181"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Tersusunnya pengantar nota keuangan</w:t>
            </w:r>
            <w:r>
              <w:rPr>
                <w:rFonts w:ascii="Arial" w:hAnsi="Arial" w:cs="Arial"/>
                <w:sz w:val="16"/>
                <w:szCs w:val="16"/>
              </w:rPr>
              <w:t xml:space="preserve"> sebanyak 110 buku</w:t>
            </w:r>
            <w:r>
              <w:rPr>
                <w:rFonts w:ascii="Arial" w:hAnsi="Arial" w:eastAsia="Times New Roman" w:cs="Arial"/>
                <w:sz w:val="16"/>
                <w:szCs w:val="16"/>
              </w:rPr>
              <w:t xml:space="preserve">, nota </w:t>
            </w:r>
            <w:r>
              <w:rPr>
                <w:rFonts w:ascii="Arial" w:hAnsi="Arial" w:cs="Arial"/>
                <w:sz w:val="16"/>
                <w:szCs w:val="16"/>
              </w:rPr>
              <w:t xml:space="preserve">keuangan 110 buku, nota </w:t>
            </w:r>
            <w:r>
              <w:rPr>
                <w:rFonts w:ascii="Arial" w:hAnsi="Arial" w:eastAsia="Times New Roman" w:cs="Arial"/>
                <w:sz w:val="16"/>
                <w:szCs w:val="16"/>
              </w:rPr>
              <w:t>jawaban</w:t>
            </w:r>
            <w:r>
              <w:rPr>
                <w:rFonts w:ascii="Arial" w:hAnsi="Arial" w:cs="Arial"/>
                <w:sz w:val="16"/>
                <w:szCs w:val="16"/>
              </w:rPr>
              <w:t xml:space="preserve"> 110 buku</w:t>
            </w:r>
            <w:r>
              <w:rPr>
                <w:rFonts w:ascii="Arial" w:hAnsi="Arial" w:eastAsia="Times New Roman" w:cs="Arial"/>
                <w:sz w:val="16"/>
                <w:szCs w:val="16"/>
              </w:rPr>
              <w:t xml:space="preserve">, Perda tentang perubahan APBD tahun </w:t>
            </w:r>
            <w:r>
              <w:rPr>
                <w:rFonts w:ascii="Arial" w:hAnsi="Arial" w:cs="Arial"/>
                <w:sz w:val="16"/>
                <w:szCs w:val="16"/>
              </w:rPr>
              <w:t>2021 150 buku</w:t>
            </w:r>
          </w:p>
        </w:tc>
        <w:tc>
          <w:tcPr>
            <w:tcW w:w="1293"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Tersusunnya pengantar nota keuangan</w:t>
            </w:r>
            <w:r>
              <w:rPr>
                <w:rFonts w:ascii="Arial" w:hAnsi="Arial" w:cs="Arial"/>
                <w:sz w:val="16"/>
                <w:szCs w:val="16"/>
              </w:rPr>
              <w:t xml:space="preserve"> sebanyak 110 buku</w:t>
            </w:r>
            <w:r>
              <w:rPr>
                <w:rFonts w:ascii="Arial" w:hAnsi="Arial" w:eastAsia="Times New Roman" w:cs="Arial"/>
                <w:sz w:val="16"/>
                <w:szCs w:val="16"/>
              </w:rPr>
              <w:t xml:space="preserve">, nota </w:t>
            </w:r>
            <w:r>
              <w:rPr>
                <w:rFonts w:ascii="Arial" w:hAnsi="Arial" w:cs="Arial"/>
                <w:sz w:val="16"/>
                <w:szCs w:val="16"/>
              </w:rPr>
              <w:t xml:space="preserve">keuangan 110 buku, nota </w:t>
            </w:r>
            <w:r>
              <w:rPr>
                <w:rFonts w:ascii="Arial" w:hAnsi="Arial" w:eastAsia="Times New Roman" w:cs="Arial"/>
                <w:sz w:val="16"/>
                <w:szCs w:val="16"/>
              </w:rPr>
              <w:t>jawaban</w:t>
            </w:r>
            <w:r>
              <w:rPr>
                <w:rFonts w:ascii="Arial" w:hAnsi="Arial" w:cs="Arial"/>
                <w:sz w:val="16"/>
                <w:szCs w:val="16"/>
              </w:rPr>
              <w:t xml:space="preserve"> 110 buku</w:t>
            </w:r>
            <w:r>
              <w:rPr>
                <w:rFonts w:ascii="Arial" w:hAnsi="Arial" w:eastAsia="Times New Roman" w:cs="Arial"/>
                <w:sz w:val="16"/>
                <w:szCs w:val="16"/>
              </w:rPr>
              <w:t xml:space="preserve">, Perda tentang perubahan APBD tahun </w:t>
            </w:r>
            <w:r>
              <w:rPr>
                <w:rFonts w:ascii="Arial" w:hAnsi="Arial" w:cs="Arial"/>
                <w:sz w:val="16"/>
                <w:szCs w:val="16"/>
              </w:rPr>
              <w:t>2021 150 buku</w:t>
            </w:r>
          </w:p>
        </w:tc>
        <w:tc>
          <w:tcPr>
            <w:tcW w:w="1028"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100</w:t>
            </w:r>
          </w:p>
        </w:tc>
        <w:tc>
          <w:tcPr>
            <w:tcW w:w="1445"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866.616.200,00</w:t>
            </w:r>
          </w:p>
        </w:tc>
        <w:tc>
          <w:tcPr>
            <w:tcW w:w="1387"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800.354.200,00</w:t>
            </w:r>
          </w:p>
        </w:tc>
        <w:tc>
          <w:tcPr>
            <w:tcW w:w="1294"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92,35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7</w:t>
            </w:r>
          </w:p>
        </w:tc>
        <w:tc>
          <w:tcPr>
            <w:tcW w:w="1222"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Verifikasi DPA-OPD, DPA-OPD Pergeseran dan DPA-OPD Perubaha</w:t>
            </w:r>
          </w:p>
        </w:tc>
        <w:tc>
          <w:tcPr>
            <w:tcW w:w="1276" w:type="dxa"/>
          </w:tcPr>
          <w:p>
            <w:pPr>
              <w:rPr>
                <w:rFonts w:ascii="Arial" w:hAnsi="Arial" w:eastAsia="Times New Roman" w:cs="Arial"/>
                <w:bCs/>
                <w:sz w:val="16"/>
                <w:szCs w:val="16"/>
              </w:rPr>
            </w:pPr>
            <w:r>
              <w:rPr>
                <w:rFonts w:ascii="Arial" w:hAnsi="Arial" w:eastAsia="Times New Roman"/>
                <w:bCs/>
                <w:sz w:val="16"/>
                <w:szCs w:val="16"/>
              </w:rPr>
              <w:t>Permendagri Nomor 13 Tahun 2006 sebagaimana telah diubah Permendagri Nomor 21 Tahun 2011, Perda Nomor 10 Tahun 2008</w:t>
            </w:r>
          </w:p>
        </w:tc>
        <w:tc>
          <w:tcPr>
            <w:tcW w:w="1181"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Terlaksananya verifikasi DPA-OPD, DPA-OPD Pergeseran dan DPA-OPD Perubahan</w:t>
            </w:r>
          </w:p>
        </w:tc>
        <w:tc>
          <w:tcPr>
            <w:tcW w:w="1293"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Terlaksananya verifikasi DPA-OPD, DPA-OPD Pergeseran dan DPA-OPD Perubahan</w:t>
            </w:r>
          </w:p>
        </w:tc>
        <w:tc>
          <w:tcPr>
            <w:tcW w:w="1028"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100</w:t>
            </w:r>
          </w:p>
        </w:tc>
        <w:tc>
          <w:tcPr>
            <w:tcW w:w="1445"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383.471.341,00</w:t>
            </w:r>
          </w:p>
        </w:tc>
        <w:tc>
          <w:tcPr>
            <w:tcW w:w="1387"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378.248.341,00</w:t>
            </w:r>
          </w:p>
        </w:tc>
        <w:tc>
          <w:tcPr>
            <w:tcW w:w="1294"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98,64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8</w:t>
            </w:r>
          </w:p>
        </w:tc>
        <w:tc>
          <w:tcPr>
            <w:tcW w:w="1222"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Pembinaan Teknis Penyusunan Perencanaan  Penganggaran OPD di Lingkungan Provinsi</w:t>
            </w:r>
          </w:p>
        </w:tc>
        <w:tc>
          <w:tcPr>
            <w:tcW w:w="1276" w:type="dxa"/>
          </w:tcPr>
          <w:p>
            <w:pPr>
              <w:rPr>
                <w:rFonts w:ascii="Arial" w:hAnsi="Arial" w:eastAsia="Times New Roman" w:cs="Arial"/>
                <w:bCs/>
                <w:sz w:val="16"/>
                <w:szCs w:val="16"/>
              </w:rPr>
            </w:pPr>
            <w:r>
              <w:rPr>
                <w:rFonts w:ascii="Arial" w:hAnsi="Arial" w:eastAsia="Times New Roman"/>
                <w:bCs/>
                <w:sz w:val="16"/>
                <w:szCs w:val="16"/>
              </w:rPr>
              <w:t>Permendagri Nomor 13 Tahun 2006 sebagaimana telah diubah Permendagri Nomor 21 Tahun 2011, Perda Nomor 10 Tahun 2008</w:t>
            </w:r>
          </w:p>
        </w:tc>
        <w:tc>
          <w:tcPr>
            <w:tcW w:w="1181" w:type="dxa"/>
          </w:tcPr>
          <w:p>
            <w:pPr>
              <w:rPr>
                <w:rFonts w:ascii="Arial" w:hAnsi="Arial" w:eastAsia="Times New Roman" w:cs="Arial"/>
                <w:sz w:val="16"/>
                <w:szCs w:val="16"/>
              </w:rPr>
            </w:pPr>
            <w:r>
              <w:rPr>
                <w:rFonts w:ascii="Arial" w:hAnsi="Arial" w:eastAsia="Times New Roman" w:cs="Arial"/>
                <w:sz w:val="16"/>
                <w:szCs w:val="16"/>
              </w:rPr>
              <w:t>Terlaksananya pembinaan dan asistensi terhadap penyusunan perencanaan dan penganggaran berbasis kinerja bagi OPD dilingkup Provinsi serta terlaksananya pembinaan dan asistensi terhadap penyusunan perencanaan dan penganggaran bantuan keuangan bersifat khusus kepada Kabupaten/Kota</w:t>
            </w:r>
            <w:r>
              <w:rPr>
                <w:rFonts w:ascii="Arial" w:hAnsi="Arial" w:cs="Arial"/>
                <w:sz w:val="16"/>
                <w:szCs w:val="16"/>
              </w:rPr>
              <w:t xml:space="preserve"> berupa 2 laporan</w:t>
            </w:r>
          </w:p>
        </w:tc>
        <w:tc>
          <w:tcPr>
            <w:tcW w:w="1293" w:type="dxa"/>
          </w:tcPr>
          <w:p>
            <w:pPr>
              <w:rPr>
                <w:rFonts w:ascii="Arial" w:hAnsi="Arial" w:cs="Arial"/>
                <w:bCs/>
                <w:sz w:val="16"/>
                <w:szCs w:val="16"/>
              </w:rPr>
            </w:pPr>
            <w:r>
              <w:rPr>
                <w:rFonts w:ascii="Arial" w:hAnsi="Arial" w:eastAsia="Times New Roman" w:cs="Arial"/>
                <w:sz w:val="16"/>
                <w:szCs w:val="16"/>
              </w:rPr>
              <w:t>Terlaksananya pembinaan dan asistensi terhadap penyusunan perencanaan dan penganggaran berbasis kinerja bagi OPD dilingkup Provinsi serta terlaksananya pembinaan dan asistensi terhadap penyusunan perencanaan dan penganggaran bantuan keuangan bersifat khusus kepada Kabupaten/Kota</w:t>
            </w:r>
            <w:r>
              <w:rPr>
                <w:rFonts w:ascii="Arial" w:hAnsi="Arial" w:cs="Arial"/>
                <w:sz w:val="16"/>
                <w:szCs w:val="16"/>
              </w:rPr>
              <w:t xml:space="preserve"> berupa 2 laporan</w:t>
            </w:r>
          </w:p>
        </w:tc>
        <w:tc>
          <w:tcPr>
            <w:tcW w:w="1028"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100</w:t>
            </w:r>
          </w:p>
        </w:tc>
        <w:tc>
          <w:tcPr>
            <w:tcW w:w="1445"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101.422.400,00</w:t>
            </w:r>
          </w:p>
        </w:tc>
        <w:tc>
          <w:tcPr>
            <w:tcW w:w="1387"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93.142.323,00</w:t>
            </w:r>
          </w:p>
        </w:tc>
        <w:tc>
          <w:tcPr>
            <w:tcW w:w="1294"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91,84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9</w:t>
            </w:r>
          </w:p>
        </w:tc>
        <w:tc>
          <w:tcPr>
            <w:tcW w:w="1222" w:type="dxa"/>
          </w:tcPr>
          <w:p>
            <w:pPr>
              <w:rPr>
                <w:rFonts w:ascii="Arial" w:hAnsi="Arial" w:eastAsia="Times New Roman" w:cs="Arial"/>
                <w:sz w:val="16"/>
                <w:szCs w:val="16"/>
              </w:rPr>
            </w:pPr>
            <w:r>
              <w:rPr>
                <w:rFonts w:ascii="Arial" w:hAnsi="Arial" w:eastAsia="Times New Roman" w:cs="Arial"/>
                <w:sz w:val="16"/>
                <w:szCs w:val="16"/>
              </w:rPr>
              <w:t>Penyusunan Laporan Pertanggungjawaban Pelaksanaan APBD</w:t>
            </w:r>
          </w:p>
        </w:tc>
        <w:tc>
          <w:tcPr>
            <w:tcW w:w="1276" w:type="dxa"/>
          </w:tcPr>
          <w:p>
            <w:pPr>
              <w:rPr>
                <w:rFonts w:ascii="Arial" w:hAnsi="Arial" w:eastAsia="Times New Roman" w:cs="Arial"/>
                <w:bCs/>
                <w:sz w:val="16"/>
                <w:szCs w:val="16"/>
              </w:rPr>
            </w:pPr>
          </w:p>
        </w:tc>
        <w:tc>
          <w:tcPr>
            <w:tcW w:w="1181" w:type="dxa"/>
          </w:tcPr>
          <w:p>
            <w:pPr>
              <w:rPr>
                <w:rFonts w:ascii="Arial" w:hAnsi="Arial" w:eastAsia="Times New Roman" w:cs="Arial"/>
                <w:sz w:val="16"/>
                <w:szCs w:val="16"/>
              </w:rPr>
            </w:pPr>
            <w:r>
              <w:rPr>
                <w:rFonts w:ascii="Arial" w:hAnsi="Arial" w:eastAsia="Times New Roman" w:cs="Arial"/>
                <w:sz w:val="16"/>
                <w:szCs w:val="16"/>
              </w:rPr>
              <w:t>Tersusunnya Perda Pertanggungjawaban APBD, Pergub Penjabaran Pertanggungjawaban, dan lain-lain</w:t>
            </w:r>
            <w:r>
              <w:rPr>
                <w:rFonts w:ascii="Arial" w:hAnsi="Arial" w:cs="Arial"/>
                <w:sz w:val="16"/>
                <w:szCs w:val="16"/>
              </w:rPr>
              <w:t xml:space="preserve"> berupa 1 dokumen</w:t>
            </w:r>
          </w:p>
        </w:tc>
        <w:tc>
          <w:tcPr>
            <w:tcW w:w="1293" w:type="dxa"/>
          </w:tcPr>
          <w:p>
            <w:pPr>
              <w:rPr>
                <w:rFonts w:ascii="Arial" w:hAnsi="Arial" w:cs="Arial"/>
                <w:bCs/>
                <w:sz w:val="16"/>
                <w:szCs w:val="16"/>
              </w:rPr>
            </w:pPr>
            <w:r>
              <w:rPr>
                <w:rFonts w:ascii="Arial" w:hAnsi="Arial" w:eastAsia="Times New Roman" w:cs="Arial"/>
                <w:sz w:val="16"/>
                <w:szCs w:val="16"/>
              </w:rPr>
              <w:t>Tersusunnya Perda Pertanggungjawaban APBD, Pergub Penjabaran Pertanggungjawaban, dan lain-lain</w:t>
            </w:r>
            <w:r>
              <w:rPr>
                <w:rFonts w:ascii="Arial" w:hAnsi="Arial" w:cs="Arial"/>
                <w:sz w:val="16"/>
                <w:szCs w:val="16"/>
              </w:rPr>
              <w:t xml:space="preserve"> berupa 1 dokumen</w:t>
            </w:r>
          </w:p>
        </w:tc>
        <w:tc>
          <w:tcPr>
            <w:tcW w:w="1028"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100</w:t>
            </w:r>
          </w:p>
        </w:tc>
        <w:tc>
          <w:tcPr>
            <w:tcW w:w="1445"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616.866.900,00</w:t>
            </w:r>
          </w:p>
        </w:tc>
        <w:tc>
          <w:tcPr>
            <w:tcW w:w="1387"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529.922.200,00</w:t>
            </w:r>
          </w:p>
        </w:tc>
        <w:tc>
          <w:tcPr>
            <w:tcW w:w="1294"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85,91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10</w:t>
            </w:r>
          </w:p>
        </w:tc>
        <w:tc>
          <w:tcPr>
            <w:tcW w:w="1222" w:type="dxa"/>
          </w:tcPr>
          <w:p>
            <w:pPr>
              <w:rPr>
                <w:rFonts w:ascii="Arial" w:hAnsi="Arial" w:eastAsia="Times New Roman" w:cs="Arial"/>
                <w:sz w:val="16"/>
                <w:szCs w:val="16"/>
              </w:rPr>
            </w:pPr>
            <w:r>
              <w:rPr>
                <w:rFonts w:ascii="Arial" w:hAnsi="Arial" w:eastAsia="Times New Roman" w:cs="Arial"/>
                <w:sz w:val="16"/>
                <w:szCs w:val="16"/>
              </w:rPr>
              <w:t>Pengembangan Sistem Informasi Pengelolaan Keuangan Daerah SIPKD</w:t>
            </w:r>
          </w:p>
        </w:tc>
        <w:tc>
          <w:tcPr>
            <w:tcW w:w="1276" w:type="dxa"/>
          </w:tcPr>
          <w:p>
            <w:pPr>
              <w:pStyle w:val="30"/>
              <w:spacing w:before="60" w:after="60" w:line="240" w:lineRule="auto"/>
              <w:ind w:left="0"/>
              <w:rPr>
                <w:rFonts w:ascii="Arial" w:hAnsi="Arial" w:cs="Arial"/>
                <w:bCs/>
                <w:sz w:val="16"/>
                <w:szCs w:val="16"/>
              </w:rPr>
            </w:pPr>
            <w:r>
              <w:rPr>
                <w:rFonts w:ascii="Arial" w:hAnsi="Arial" w:cs="Arial"/>
                <w:bCs/>
                <w:sz w:val="16"/>
                <w:szCs w:val="16"/>
              </w:rPr>
              <w:t>PMK Nomor 74/PMK.o7/2016</w:t>
            </w:r>
          </w:p>
          <w:p>
            <w:pPr>
              <w:spacing w:line="240" w:lineRule="auto"/>
              <w:rPr>
                <w:rFonts w:ascii="Arial" w:hAnsi="Arial" w:eastAsia="Times New Roman" w:cs="Arial"/>
                <w:bCs/>
                <w:sz w:val="16"/>
                <w:szCs w:val="16"/>
              </w:rPr>
            </w:pPr>
            <w:r>
              <w:rPr>
                <w:rFonts w:ascii="Arial" w:hAnsi="Arial" w:cs="Arial"/>
                <w:bCs/>
                <w:sz w:val="16"/>
                <w:szCs w:val="16"/>
              </w:rPr>
              <w:t>2.</w:t>
            </w:r>
            <w:r>
              <w:rPr>
                <w:rFonts w:ascii="Arial" w:hAnsi="Arial" w:cs="Arial"/>
                <w:bCs/>
                <w:sz w:val="16"/>
                <w:szCs w:val="16"/>
                <w:lang w:val="id-ID"/>
              </w:rPr>
              <w:t xml:space="preserve">Pergub Nomor </w:t>
            </w:r>
            <w:r>
              <w:rPr>
                <w:rFonts w:ascii="Arial" w:hAnsi="Arial" w:cs="Arial"/>
                <w:bCs/>
                <w:sz w:val="16"/>
                <w:szCs w:val="16"/>
              </w:rPr>
              <w:t xml:space="preserve">31 Tahun 2019 </w:t>
            </w:r>
            <w:r>
              <w:rPr>
                <w:rFonts w:ascii="Arial" w:hAnsi="Arial" w:cs="Arial"/>
                <w:bCs/>
                <w:sz w:val="16"/>
                <w:szCs w:val="16"/>
                <w:lang w:val="id-ID"/>
              </w:rPr>
              <w:t>tentang</w:t>
            </w:r>
            <w:r>
              <w:rPr>
                <w:rFonts w:ascii="Arial" w:hAnsi="Arial" w:cs="Arial"/>
                <w:bCs/>
                <w:sz w:val="16"/>
                <w:szCs w:val="16"/>
              </w:rPr>
              <w:t xml:space="preserve"> Tata cara</w:t>
            </w:r>
            <w:r>
              <w:rPr>
                <w:rFonts w:ascii="Arial" w:hAnsi="Arial" w:cs="Arial"/>
                <w:bCs/>
                <w:sz w:val="16"/>
                <w:szCs w:val="16"/>
                <w:lang w:val="id-ID"/>
              </w:rPr>
              <w:t xml:space="preserve"> Pe</w:t>
            </w:r>
            <w:r>
              <w:rPr>
                <w:rFonts w:ascii="Arial" w:hAnsi="Arial" w:cs="Arial"/>
                <w:bCs/>
                <w:sz w:val="16"/>
                <w:szCs w:val="16"/>
              </w:rPr>
              <w:t xml:space="preserve">nyelenggaraan </w:t>
            </w:r>
            <w:r>
              <w:rPr>
                <w:rFonts w:ascii="Arial" w:hAnsi="Arial" w:cs="Arial"/>
                <w:bCs/>
                <w:sz w:val="16"/>
                <w:szCs w:val="16"/>
                <w:lang w:val="id-ID"/>
              </w:rPr>
              <w:t>Sistem informasi Keuangan Daerah</w:t>
            </w:r>
          </w:p>
        </w:tc>
        <w:tc>
          <w:tcPr>
            <w:tcW w:w="1181"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Terlaksananya pengembangan aplikasi SIPKD sesuai kebutuhan operasional di lapangan</w:t>
            </w:r>
            <w:r>
              <w:rPr>
                <w:rFonts w:ascii="Arial" w:hAnsi="Arial" w:cs="Arial"/>
                <w:sz w:val="16"/>
                <w:szCs w:val="16"/>
              </w:rPr>
              <w:t xml:space="preserve"> berupa 1 fitur</w:t>
            </w:r>
          </w:p>
        </w:tc>
        <w:tc>
          <w:tcPr>
            <w:tcW w:w="1293"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Terlaksananya pengembangan aplikasi SIPKD sesuai kebutuhan operasional di lapangan</w:t>
            </w:r>
            <w:r>
              <w:rPr>
                <w:rFonts w:ascii="Arial" w:hAnsi="Arial" w:cs="Arial"/>
                <w:sz w:val="16"/>
                <w:szCs w:val="16"/>
              </w:rPr>
              <w:t xml:space="preserve"> berupa 1 fitur</w:t>
            </w:r>
          </w:p>
        </w:tc>
        <w:tc>
          <w:tcPr>
            <w:tcW w:w="1028"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100</w:t>
            </w:r>
          </w:p>
        </w:tc>
        <w:tc>
          <w:tcPr>
            <w:tcW w:w="1445"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684.849.700,00</w:t>
            </w:r>
          </w:p>
        </w:tc>
        <w:tc>
          <w:tcPr>
            <w:tcW w:w="1387"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639.118.334,00</w:t>
            </w:r>
          </w:p>
        </w:tc>
        <w:tc>
          <w:tcPr>
            <w:tcW w:w="1294"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93,32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11</w:t>
            </w:r>
          </w:p>
        </w:tc>
        <w:tc>
          <w:tcPr>
            <w:tcW w:w="1222"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Penetapan Pengelolaan Keuangan, Penerima Hibah, Bantuan Keuangan dan Bantuan Operasional Sekolah</w:t>
            </w:r>
          </w:p>
        </w:tc>
        <w:tc>
          <w:tcPr>
            <w:tcW w:w="1276" w:type="dxa"/>
          </w:tcPr>
          <w:p>
            <w:pPr>
              <w:pStyle w:val="30"/>
              <w:numPr>
                <w:ilvl w:val="0"/>
                <w:numId w:val="46"/>
              </w:numPr>
              <w:spacing w:before="60" w:after="60" w:line="240" w:lineRule="auto"/>
              <w:ind w:left="128" w:hanging="180"/>
              <w:contextualSpacing w:val="0"/>
              <w:rPr>
                <w:rFonts w:ascii="Arial" w:hAnsi="Arial" w:cs="Arial"/>
                <w:bCs/>
                <w:sz w:val="16"/>
                <w:szCs w:val="16"/>
              </w:rPr>
            </w:pPr>
            <w:r>
              <w:rPr>
                <w:rFonts w:ascii="Arial" w:hAnsi="Arial" w:cs="Arial"/>
                <w:sz w:val="16"/>
                <w:szCs w:val="16"/>
              </w:rPr>
              <w:t>Peraturan Menteri Dalam Negeri Nomor 32 Tahun 2011 tentang Pedoman Pemberian Hibah dan Bansos yang bersumber dari APBD sebagaimana telah diubah dengan Peraturan Menteri Dalam Negeri Nomor 39 Tahun 2012.</w:t>
            </w:r>
          </w:p>
          <w:p>
            <w:pPr>
              <w:rPr>
                <w:rFonts w:ascii="Arial" w:hAnsi="Arial" w:eastAsia="Times New Roman" w:cs="Arial"/>
                <w:bCs/>
                <w:sz w:val="16"/>
                <w:szCs w:val="16"/>
              </w:rPr>
            </w:pPr>
            <w:r>
              <w:rPr>
                <w:rFonts w:ascii="Arial" w:hAnsi="Arial" w:cs="Arial"/>
                <w:sz w:val="16"/>
                <w:szCs w:val="16"/>
              </w:rPr>
              <w:t>- Peraturan Gubernur Sumatera Barat Nomor 25 Tahun 2013 sebagaimana terakhir diubah dengan Peraturan Gubernur Sumatera Barat Nomor 46 Tahun 2016 tentang Tata Cara Pemberian Hibah Dan Bantuan Sosial</w:t>
            </w:r>
          </w:p>
        </w:tc>
        <w:tc>
          <w:tcPr>
            <w:tcW w:w="1181" w:type="dxa"/>
          </w:tcPr>
          <w:p>
            <w:pPr>
              <w:rPr>
                <w:rFonts w:ascii="Arial" w:hAnsi="Arial" w:eastAsia="Times New Roman" w:cs="Arial"/>
                <w:sz w:val="16"/>
                <w:szCs w:val="16"/>
              </w:rPr>
            </w:pPr>
            <w:r>
              <w:rPr>
                <w:rFonts w:ascii="Arial" w:hAnsi="Arial" w:eastAsia="Times New Roman" w:cs="Arial"/>
                <w:sz w:val="16"/>
                <w:szCs w:val="16"/>
              </w:rPr>
              <w:t>Tersedianya dokumen data pengelola keuangan dan penyaluran hibah, bantuan keuangan dan bantuan operasional sekolah dengan dokumen surat keputusan gubernur</w:t>
            </w:r>
            <w:r>
              <w:rPr>
                <w:rFonts w:ascii="Arial" w:hAnsi="Arial" w:cs="Arial"/>
                <w:sz w:val="16"/>
                <w:szCs w:val="16"/>
              </w:rPr>
              <w:t xml:space="preserve"> berupa 8 dokumen,dan 8 SK</w:t>
            </w:r>
          </w:p>
        </w:tc>
        <w:tc>
          <w:tcPr>
            <w:tcW w:w="1293" w:type="dxa"/>
          </w:tcPr>
          <w:p>
            <w:pPr>
              <w:rPr>
                <w:rFonts w:ascii="Arial" w:hAnsi="Arial" w:cs="Arial"/>
                <w:bCs/>
                <w:sz w:val="16"/>
                <w:szCs w:val="16"/>
              </w:rPr>
            </w:pPr>
            <w:r>
              <w:rPr>
                <w:rFonts w:ascii="Arial" w:hAnsi="Arial" w:eastAsia="Times New Roman" w:cs="Arial"/>
                <w:sz w:val="16"/>
                <w:szCs w:val="16"/>
              </w:rPr>
              <w:t>Tersedianya dokumen data pengelola keuangan dan penyaluran hibah, bantuan keuangan dan bantuan operasional sekolah dengan dokumen surat keputusan gubernur</w:t>
            </w:r>
            <w:r>
              <w:rPr>
                <w:rFonts w:ascii="Arial" w:hAnsi="Arial" w:cs="Arial"/>
                <w:sz w:val="16"/>
                <w:szCs w:val="16"/>
              </w:rPr>
              <w:t xml:space="preserve"> berupa 8 dokumen,dan 8 SK</w:t>
            </w:r>
          </w:p>
        </w:tc>
        <w:tc>
          <w:tcPr>
            <w:tcW w:w="1028"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100</w:t>
            </w:r>
          </w:p>
        </w:tc>
        <w:tc>
          <w:tcPr>
            <w:tcW w:w="1445"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93.875.100,00</w:t>
            </w:r>
          </w:p>
        </w:tc>
        <w:tc>
          <w:tcPr>
            <w:tcW w:w="1387"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89.756.405,00</w:t>
            </w:r>
          </w:p>
        </w:tc>
        <w:tc>
          <w:tcPr>
            <w:tcW w:w="1294"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95,61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12</w:t>
            </w:r>
          </w:p>
        </w:tc>
        <w:tc>
          <w:tcPr>
            <w:tcW w:w="1222" w:type="dxa"/>
          </w:tcPr>
          <w:p>
            <w:pPr>
              <w:jc w:val="both"/>
              <w:rPr>
                <w:rFonts w:ascii="Arial" w:hAnsi="Arial" w:eastAsia="Times New Roman" w:cs="Arial"/>
                <w:sz w:val="16"/>
                <w:szCs w:val="16"/>
              </w:rPr>
            </w:pPr>
            <w:r>
              <w:rPr>
                <w:rFonts w:ascii="Arial" w:hAnsi="Arial" w:eastAsia="Times New Roman" w:cs="Arial"/>
                <w:sz w:val="16"/>
                <w:szCs w:val="16"/>
              </w:rPr>
              <w:t>Sosialisasi Peraturan Perundang-undangan tentang Penatausahaan Keuangan Kepada OPD  Lingkup Provinsi Sumbar</w:t>
            </w:r>
          </w:p>
        </w:tc>
        <w:tc>
          <w:tcPr>
            <w:tcW w:w="1276" w:type="dxa"/>
          </w:tcPr>
          <w:p>
            <w:pPr>
              <w:pStyle w:val="30"/>
              <w:spacing w:before="60" w:after="60" w:line="240" w:lineRule="auto"/>
              <w:ind w:left="-52"/>
              <w:contextualSpacing w:val="0"/>
              <w:rPr>
                <w:rFonts w:ascii="Arial" w:hAnsi="Arial" w:cs="Arial"/>
                <w:bCs/>
                <w:sz w:val="16"/>
                <w:szCs w:val="16"/>
              </w:rPr>
            </w:pPr>
            <w:r>
              <w:rPr>
                <w:rFonts w:ascii="Arial" w:hAnsi="Arial" w:cs="Arial"/>
                <w:sz w:val="16"/>
                <w:szCs w:val="16"/>
              </w:rPr>
              <w:t>- Peraturan Menteri Dalam Negeri Nomor 32 Tahun 2011 tentang Pedoman Pemberian Hibah dan Bansos yang bersumber dari APBD sebagaimana telah diubah dengan Peraturan Menteri Dalam Negeri Nomor 39 Tahun 2012.</w:t>
            </w:r>
          </w:p>
          <w:p>
            <w:pPr>
              <w:rPr>
                <w:rFonts w:ascii="Arial" w:hAnsi="Arial" w:eastAsia="Times New Roman" w:cs="Arial"/>
                <w:bCs/>
                <w:sz w:val="16"/>
                <w:szCs w:val="16"/>
              </w:rPr>
            </w:pPr>
            <w:r>
              <w:rPr>
                <w:rFonts w:ascii="Arial" w:hAnsi="Arial" w:cs="Arial"/>
                <w:sz w:val="16"/>
                <w:szCs w:val="16"/>
              </w:rPr>
              <w:t>- Peraturan Gubernur Sumatera Barat Nomor 25 Tahun 2013 sebagaimana terakhir diubah dengan Peraturan Gubernur Sumatera Barat Nomor 46 Tahun 2016 tentang Tata Cara Pemberian Hibah Dan Bantuan Sosial</w:t>
            </w:r>
          </w:p>
        </w:tc>
        <w:tc>
          <w:tcPr>
            <w:tcW w:w="1181" w:type="dxa"/>
          </w:tcPr>
          <w:p>
            <w:pPr>
              <w:rPr>
                <w:rFonts w:ascii="Arial" w:hAnsi="Arial" w:eastAsia="Times New Roman" w:cs="Arial"/>
                <w:sz w:val="16"/>
                <w:szCs w:val="16"/>
              </w:rPr>
            </w:pPr>
            <w:r>
              <w:rPr>
                <w:rFonts w:ascii="Arial" w:hAnsi="Arial" w:eastAsia="Times New Roman" w:cs="Arial"/>
                <w:sz w:val="16"/>
                <w:szCs w:val="16"/>
              </w:rPr>
              <w:t>Terlaksananya Sosialisasi Peraturan Perundang-undangan tentang Penatausahaan Keuangan terhadap Pejabat Pengelola Keuangan dan Bendahara</w:t>
            </w:r>
          </w:p>
        </w:tc>
        <w:tc>
          <w:tcPr>
            <w:tcW w:w="1293" w:type="dxa"/>
          </w:tcPr>
          <w:p>
            <w:pPr>
              <w:rPr>
                <w:rFonts w:ascii="Arial" w:hAnsi="Arial" w:cs="Arial"/>
                <w:bCs/>
                <w:sz w:val="16"/>
                <w:szCs w:val="16"/>
              </w:rPr>
            </w:pPr>
            <w:r>
              <w:rPr>
                <w:rFonts w:ascii="Arial" w:hAnsi="Arial" w:eastAsia="Times New Roman" w:cs="Arial"/>
                <w:sz w:val="16"/>
                <w:szCs w:val="16"/>
              </w:rPr>
              <w:t>Terlaksananya Sosialisasi Peraturan Perundang-undangan tentang Penatausahaan Keuangan terhadap Pejabat Pengelola Keuangan dan Bendahara</w:t>
            </w:r>
          </w:p>
        </w:tc>
        <w:tc>
          <w:tcPr>
            <w:tcW w:w="1028" w:type="dxa"/>
          </w:tcPr>
          <w:p>
            <w:pPr>
              <w:pStyle w:val="30"/>
              <w:spacing w:before="60" w:after="60" w:line="240" w:lineRule="auto"/>
              <w:ind w:left="0"/>
              <w:contextualSpacing w:val="0"/>
              <w:jc w:val="both"/>
              <w:rPr>
                <w:rFonts w:ascii="Arial" w:hAnsi="Arial" w:cs="Arial"/>
                <w:bCs/>
                <w:sz w:val="16"/>
                <w:szCs w:val="16"/>
              </w:rPr>
            </w:pPr>
          </w:p>
        </w:tc>
        <w:tc>
          <w:tcPr>
            <w:tcW w:w="1445"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20.002.400,00</w:t>
            </w:r>
          </w:p>
        </w:tc>
        <w:tc>
          <w:tcPr>
            <w:tcW w:w="1387"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17.706.000,00</w:t>
            </w:r>
          </w:p>
        </w:tc>
        <w:tc>
          <w:tcPr>
            <w:tcW w:w="1294"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88,52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13</w:t>
            </w:r>
          </w:p>
        </w:tc>
        <w:tc>
          <w:tcPr>
            <w:tcW w:w="1222" w:type="dxa"/>
          </w:tcPr>
          <w:p>
            <w:pPr>
              <w:rPr>
                <w:rFonts w:ascii="Arial" w:hAnsi="Arial" w:eastAsia="Times New Roman" w:cs="Arial"/>
                <w:sz w:val="16"/>
                <w:szCs w:val="16"/>
              </w:rPr>
            </w:pPr>
            <w:r>
              <w:rPr>
                <w:rFonts w:ascii="Arial" w:hAnsi="Arial" w:eastAsia="Times New Roman" w:cs="Arial"/>
                <w:sz w:val="16"/>
                <w:szCs w:val="16"/>
              </w:rPr>
              <w:t>Rekonsiliasi Dana Transfer, Belanja Pegawai dan Daftar Transaksi Harian dan Rekapitulasi Harian</w:t>
            </w:r>
          </w:p>
        </w:tc>
        <w:tc>
          <w:tcPr>
            <w:tcW w:w="1276" w:type="dxa"/>
          </w:tcPr>
          <w:p>
            <w:pPr>
              <w:rPr>
                <w:rFonts w:ascii="Arial" w:hAnsi="Arial" w:eastAsia="Times New Roman" w:cs="Arial"/>
                <w:bCs/>
                <w:sz w:val="16"/>
                <w:szCs w:val="16"/>
              </w:rPr>
            </w:pPr>
            <w:r>
              <w:rPr>
                <w:rFonts w:ascii="Arial" w:hAnsi="Arial" w:cs="Arial"/>
                <w:sz w:val="16"/>
                <w:szCs w:val="16"/>
              </w:rPr>
              <w:t>Peraturan Menteri Keuangan Nomor 64/PMK.05/2013 tentang Mekanisme Pengawasan terhadap Pemotongan/ Pemungutan dan Penyetoran Pajak yang dilakukan oleh Bendahara Pengeluaran SKPD/Kuasa BUD.</w:t>
            </w:r>
          </w:p>
        </w:tc>
        <w:tc>
          <w:tcPr>
            <w:tcW w:w="1181" w:type="dxa"/>
          </w:tcPr>
          <w:p>
            <w:pPr>
              <w:rPr>
                <w:rFonts w:ascii="Arial" w:hAnsi="Arial" w:eastAsia="Times New Roman" w:cs="Arial"/>
                <w:sz w:val="16"/>
                <w:szCs w:val="16"/>
              </w:rPr>
            </w:pPr>
            <w:r>
              <w:rPr>
                <w:rFonts w:ascii="Arial" w:hAnsi="Arial" w:eastAsia="Times New Roman" w:cs="Arial"/>
                <w:sz w:val="16"/>
                <w:szCs w:val="16"/>
              </w:rPr>
              <w:t>Terlaksananya rekonsiliasi dana transfer dan IPDMP, Belanja Pegawai, Daftar Transaksi Hariana, dan Rekapitulasi Transaksi Harian</w:t>
            </w:r>
            <w:r>
              <w:rPr>
                <w:rFonts w:ascii="Arial" w:hAnsi="Arial" w:cs="Arial"/>
                <w:sz w:val="16"/>
                <w:szCs w:val="16"/>
              </w:rPr>
              <w:t xml:space="preserve"> berupa 4 dokumen</w:t>
            </w:r>
          </w:p>
        </w:tc>
        <w:tc>
          <w:tcPr>
            <w:tcW w:w="1293" w:type="dxa"/>
          </w:tcPr>
          <w:p>
            <w:pPr>
              <w:rPr>
                <w:rFonts w:ascii="Arial" w:hAnsi="Arial" w:cs="Arial"/>
                <w:bCs/>
                <w:sz w:val="15"/>
                <w:szCs w:val="15"/>
              </w:rPr>
            </w:pPr>
            <w:r>
              <w:rPr>
                <w:rFonts w:ascii="Arial" w:hAnsi="Arial" w:eastAsia="Times New Roman" w:cs="Arial"/>
                <w:sz w:val="16"/>
                <w:szCs w:val="16"/>
              </w:rPr>
              <w:t>Terlaksananya rekonsiliasi dana transfer dan IPDMP, Belanja Pegawai, Daftar Transaksi Hariana, dan Rekapitulasi Transaksi Harian</w:t>
            </w:r>
            <w:r>
              <w:rPr>
                <w:rFonts w:ascii="Arial" w:hAnsi="Arial" w:cs="Arial"/>
                <w:sz w:val="16"/>
                <w:szCs w:val="16"/>
              </w:rPr>
              <w:t xml:space="preserve"> berupa 4 dokumen</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251.229.600,00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226.085.870,00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89,99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14</w:t>
            </w:r>
          </w:p>
        </w:tc>
        <w:tc>
          <w:tcPr>
            <w:tcW w:w="1222" w:type="dxa"/>
          </w:tcPr>
          <w:p>
            <w:pPr>
              <w:rPr>
                <w:rFonts w:ascii="Arial" w:hAnsi="Arial" w:eastAsia="Times New Roman" w:cs="Arial"/>
                <w:sz w:val="16"/>
                <w:szCs w:val="16"/>
              </w:rPr>
            </w:pPr>
            <w:r>
              <w:rPr>
                <w:rFonts w:ascii="Arial" w:hAnsi="Arial" w:eastAsia="Times New Roman" w:cs="Arial"/>
                <w:sz w:val="16"/>
                <w:szCs w:val="16"/>
              </w:rPr>
              <w:t>Penyusunan Peraturan Terkait Perencanaan dan Penganggaran</w:t>
            </w:r>
          </w:p>
        </w:tc>
        <w:tc>
          <w:tcPr>
            <w:tcW w:w="1276" w:type="dxa"/>
          </w:tcPr>
          <w:p>
            <w:pPr>
              <w:rPr>
                <w:rFonts w:ascii="Arial" w:hAnsi="Arial" w:eastAsia="Times New Roman" w:cs="Arial"/>
                <w:bCs/>
                <w:sz w:val="16"/>
                <w:szCs w:val="16"/>
              </w:rPr>
            </w:pPr>
            <w:r>
              <w:rPr>
                <w:rFonts w:ascii="Arial" w:hAnsi="Arial" w:eastAsia="Times New Roman"/>
                <w:bCs/>
                <w:sz w:val="16"/>
                <w:szCs w:val="16"/>
              </w:rPr>
              <w:t>Permendagri Nomor 13 Tahun 2006 sebagaimana telah diubah Permendagri Nomor 21 Tahun 2011, Perda Nomor 10 Tahun 2008</w:t>
            </w:r>
          </w:p>
        </w:tc>
        <w:tc>
          <w:tcPr>
            <w:tcW w:w="1181" w:type="dxa"/>
          </w:tcPr>
          <w:p>
            <w:pPr>
              <w:rPr>
                <w:rFonts w:ascii="Arial" w:hAnsi="Arial" w:eastAsia="Times New Roman" w:cs="Arial"/>
                <w:sz w:val="16"/>
                <w:szCs w:val="16"/>
              </w:rPr>
            </w:pPr>
            <w:r>
              <w:rPr>
                <w:rFonts w:ascii="Arial" w:hAnsi="Arial" w:eastAsia="Times New Roman" w:cs="Arial"/>
                <w:sz w:val="16"/>
                <w:szCs w:val="16"/>
              </w:rPr>
              <w:t>Terlaksananya penyusunan dokumen deregulasi  terkait dengan perencanaan dan penganggaran</w:t>
            </w:r>
            <w:r>
              <w:rPr>
                <w:rFonts w:ascii="Arial" w:hAnsi="Arial" w:cs="Arial"/>
                <w:sz w:val="16"/>
                <w:szCs w:val="16"/>
              </w:rPr>
              <w:t xml:space="preserve"> berupa 6 dokumen</w:t>
            </w:r>
          </w:p>
        </w:tc>
        <w:tc>
          <w:tcPr>
            <w:tcW w:w="1293" w:type="dxa"/>
          </w:tcPr>
          <w:p>
            <w:pPr>
              <w:rPr>
                <w:rFonts w:ascii="Arial" w:hAnsi="Arial" w:cs="Arial"/>
                <w:bCs/>
                <w:sz w:val="15"/>
                <w:szCs w:val="15"/>
              </w:rPr>
            </w:pPr>
            <w:r>
              <w:rPr>
                <w:rFonts w:ascii="Arial" w:hAnsi="Arial" w:eastAsia="Times New Roman" w:cs="Arial"/>
                <w:sz w:val="16"/>
                <w:szCs w:val="16"/>
              </w:rPr>
              <w:t>Terlaksananya penyusunan dokumen deregulasi  terkait dengan perencanaan dan penganggaran</w:t>
            </w:r>
            <w:r>
              <w:rPr>
                <w:rFonts w:ascii="Arial" w:hAnsi="Arial" w:cs="Arial"/>
                <w:sz w:val="16"/>
                <w:szCs w:val="16"/>
              </w:rPr>
              <w:t xml:space="preserve"> berupa 6 dokumen</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eastAsia="Times New Roman" w:cs="Arial"/>
                <w:bCs/>
                <w:sz w:val="15"/>
                <w:szCs w:val="15"/>
              </w:rPr>
            </w:pPr>
            <w:r>
              <w:rPr>
                <w:rFonts w:ascii="Arial" w:hAnsi="Arial" w:cs="Arial"/>
                <w:bCs/>
                <w:sz w:val="15"/>
                <w:szCs w:val="15"/>
              </w:rPr>
              <w:t>226.409.350,00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153.391.860,00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67,75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15</w:t>
            </w:r>
          </w:p>
        </w:tc>
        <w:tc>
          <w:tcPr>
            <w:tcW w:w="1222"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Sosialisasi Peraturan terkait Perencanaan dan Penganggaran Keuangan Daerah Kepada OPD di Lingkup Provinsi Sumatera Barat</w:t>
            </w:r>
          </w:p>
        </w:tc>
        <w:tc>
          <w:tcPr>
            <w:tcW w:w="1276" w:type="dxa"/>
          </w:tcPr>
          <w:p>
            <w:pPr>
              <w:rPr>
                <w:rFonts w:ascii="Arial" w:hAnsi="Arial" w:eastAsia="Times New Roman" w:cs="Arial"/>
                <w:bCs/>
                <w:sz w:val="16"/>
                <w:szCs w:val="16"/>
              </w:rPr>
            </w:pPr>
          </w:p>
        </w:tc>
        <w:tc>
          <w:tcPr>
            <w:tcW w:w="1181" w:type="dxa"/>
          </w:tcPr>
          <w:p>
            <w:pPr>
              <w:rPr>
                <w:rFonts w:ascii="Arial" w:hAnsi="Arial" w:eastAsia="Times New Roman" w:cs="Arial"/>
                <w:sz w:val="16"/>
                <w:szCs w:val="16"/>
              </w:rPr>
            </w:pPr>
            <w:r>
              <w:rPr>
                <w:rFonts w:ascii="Arial" w:hAnsi="Arial" w:eastAsia="Times New Roman" w:cs="Arial"/>
                <w:sz w:val="16"/>
                <w:szCs w:val="16"/>
              </w:rPr>
              <w:t>Tidak terlaksana karena termasuk kegiatan yang terdampak rasionalisasi penanganan Covid-19</w:t>
            </w:r>
          </w:p>
        </w:tc>
        <w:tc>
          <w:tcPr>
            <w:tcW w:w="1293" w:type="dxa"/>
          </w:tcPr>
          <w:p>
            <w:pPr>
              <w:rPr>
                <w:rFonts w:ascii="Arial" w:hAnsi="Arial" w:cs="Arial"/>
                <w:bCs/>
                <w:sz w:val="15"/>
                <w:szCs w:val="15"/>
              </w:rPr>
            </w:pPr>
            <w:r>
              <w:rPr>
                <w:rFonts w:ascii="Arial" w:hAnsi="Arial" w:eastAsia="Times New Roman" w:cs="Arial"/>
                <w:sz w:val="16"/>
                <w:szCs w:val="16"/>
              </w:rPr>
              <w:t>Tidak terlaksana karena termasuk kegiatan yang terdampak rasionalisasi penanganan Covid-19</w:t>
            </w:r>
          </w:p>
        </w:tc>
        <w:tc>
          <w:tcPr>
            <w:tcW w:w="1028" w:type="dxa"/>
          </w:tcPr>
          <w:p>
            <w:pPr>
              <w:pStyle w:val="30"/>
              <w:spacing w:before="60" w:after="60" w:line="240" w:lineRule="auto"/>
              <w:ind w:left="0"/>
              <w:contextualSpacing w:val="0"/>
              <w:jc w:val="both"/>
              <w:rPr>
                <w:rFonts w:ascii="Arial" w:hAnsi="Arial" w:cs="Arial"/>
                <w:bCs/>
                <w:sz w:val="15"/>
                <w:szCs w:val="15"/>
              </w:rPr>
            </w:pPr>
          </w:p>
        </w:tc>
        <w:tc>
          <w:tcPr>
            <w:tcW w:w="1445" w:type="dxa"/>
          </w:tcPr>
          <w:p>
            <w:pPr>
              <w:pStyle w:val="30"/>
              <w:spacing w:before="60" w:after="60" w:line="240" w:lineRule="auto"/>
              <w:ind w:left="0"/>
              <w:contextualSpacing w:val="0"/>
              <w:jc w:val="both"/>
              <w:rPr>
                <w:rFonts w:ascii="Arial" w:hAnsi="Arial" w:cs="Arial"/>
                <w:bCs/>
                <w:sz w:val="15"/>
                <w:szCs w:val="15"/>
              </w:rPr>
            </w:pPr>
          </w:p>
        </w:tc>
        <w:tc>
          <w:tcPr>
            <w:tcW w:w="1387" w:type="dxa"/>
          </w:tcPr>
          <w:p>
            <w:pPr>
              <w:pStyle w:val="30"/>
              <w:spacing w:before="60" w:after="60" w:line="240" w:lineRule="auto"/>
              <w:ind w:left="0"/>
              <w:contextualSpacing w:val="0"/>
              <w:jc w:val="both"/>
              <w:rPr>
                <w:rFonts w:ascii="Arial" w:hAnsi="Arial" w:cs="Arial"/>
                <w:bCs/>
                <w:sz w:val="15"/>
                <w:szCs w:val="15"/>
              </w:rPr>
            </w:pPr>
          </w:p>
        </w:tc>
        <w:tc>
          <w:tcPr>
            <w:tcW w:w="1294" w:type="dxa"/>
          </w:tcPr>
          <w:p>
            <w:pPr>
              <w:pStyle w:val="30"/>
              <w:spacing w:before="60" w:after="60" w:line="240" w:lineRule="auto"/>
              <w:ind w:left="0"/>
              <w:contextualSpacing w:val="0"/>
              <w:jc w:val="both"/>
              <w:rPr>
                <w:rFonts w:ascii="Arial" w:hAnsi="Arial" w:cs="Arial"/>
                <w:bCs/>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16</w:t>
            </w:r>
          </w:p>
        </w:tc>
        <w:tc>
          <w:tcPr>
            <w:tcW w:w="1222" w:type="dxa"/>
          </w:tcPr>
          <w:p>
            <w:pPr>
              <w:rPr>
                <w:rFonts w:ascii="Arial" w:hAnsi="Arial" w:eastAsia="Times New Roman" w:cs="Arial"/>
                <w:sz w:val="16"/>
                <w:szCs w:val="16"/>
              </w:rPr>
            </w:pPr>
            <w:r>
              <w:rPr>
                <w:rFonts w:ascii="Arial" w:hAnsi="Arial" w:eastAsia="Times New Roman" w:cs="Arial"/>
                <w:sz w:val="16"/>
                <w:szCs w:val="16"/>
              </w:rPr>
              <w:t>Pembahasan RKP-OPD dan DPPA-OPD/RKA-OPD Kegiatan Tahun 2019</w:t>
            </w:r>
          </w:p>
        </w:tc>
        <w:tc>
          <w:tcPr>
            <w:tcW w:w="1276" w:type="dxa"/>
          </w:tcPr>
          <w:p>
            <w:pPr>
              <w:rPr>
                <w:rFonts w:ascii="Arial" w:hAnsi="Arial" w:eastAsia="Times New Roman" w:cs="Arial"/>
                <w:bCs/>
                <w:sz w:val="16"/>
                <w:szCs w:val="16"/>
              </w:rPr>
            </w:pPr>
            <w:r>
              <w:rPr>
                <w:rFonts w:ascii="Arial" w:hAnsi="Arial" w:eastAsia="Times New Roman"/>
                <w:bCs/>
                <w:sz w:val="16"/>
                <w:szCs w:val="16"/>
              </w:rPr>
              <w:t>Permendagri Nomor 13 Tahun 2006 sebagaimana telah diubah Permendagri Nomor 21 Tahun 2011, Perda Nomor 10 Tahun 2008</w:t>
            </w:r>
          </w:p>
        </w:tc>
        <w:tc>
          <w:tcPr>
            <w:tcW w:w="1181" w:type="dxa"/>
          </w:tcPr>
          <w:p>
            <w:pPr>
              <w:rPr>
                <w:rFonts w:ascii="Arial" w:hAnsi="Arial" w:eastAsia="Times New Roman" w:cs="Arial"/>
                <w:sz w:val="16"/>
                <w:szCs w:val="16"/>
              </w:rPr>
            </w:pPr>
            <w:r>
              <w:rPr>
                <w:rFonts w:ascii="Arial" w:hAnsi="Arial" w:eastAsia="Times New Roman" w:cs="Arial"/>
                <w:sz w:val="16"/>
                <w:szCs w:val="16"/>
              </w:rPr>
              <w:t>Terlaksananya pembahasan RKA OPD dan DPA OPD Tahun 2021 sesuai dengan perundang-undangan</w:t>
            </w:r>
          </w:p>
        </w:tc>
        <w:tc>
          <w:tcPr>
            <w:tcW w:w="1293" w:type="dxa"/>
          </w:tcPr>
          <w:p>
            <w:pPr>
              <w:rPr>
                <w:rFonts w:ascii="Arial" w:hAnsi="Arial" w:eastAsia="Times New Roman" w:cs="Arial"/>
                <w:bCs/>
                <w:sz w:val="16"/>
                <w:szCs w:val="16"/>
              </w:rPr>
            </w:pPr>
            <w:r>
              <w:rPr>
                <w:rFonts w:ascii="Arial" w:hAnsi="Arial" w:eastAsia="Times New Roman" w:cs="Arial"/>
                <w:sz w:val="16"/>
                <w:szCs w:val="16"/>
              </w:rPr>
              <w:t>Terlaksananya pembahasan RKA OPD dan DPA OPD Tahun 2021 sesuai dengan perundang-undangan</w:t>
            </w:r>
          </w:p>
        </w:tc>
        <w:tc>
          <w:tcPr>
            <w:tcW w:w="1028" w:type="dxa"/>
          </w:tcPr>
          <w:p>
            <w:pPr>
              <w:pStyle w:val="30"/>
              <w:spacing w:before="60" w:after="60" w:line="240" w:lineRule="auto"/>
              <w:ind w:left="0"/>
              <w:contextualSpacing w:val="0"/>
              <w:jc w:val="both"/>
              <w:rPr>
                <w:rFonts w:ascii="Arial" w:hAnsi="Arial" w:eastAsia="Times New Roman" w:cs="Arial"/>
                <w:bCs/>
                <w:sz w:val="16"/>
                <w:szCs w:val="16"/>
              </w:rPr>
            </w:pPr>
            <w:r>
              <w:rPr>
                <w:rFonts w:ascii="Arial" w:hAnsi="Arial" w:cs="Arial"/>
                <w:bCs/>
                <w:sz w:val="16"/>
                <w:szCs w:val="16"/>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414.387.350,00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381.093.350,00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91,97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hint="default" w:ascii="Arial" w:hAnsi="Arial" w:cs="Arial"/>
                <w:bCs/>
                <w:sz w:val="15"/>
                <w:szCs w:val="15"/>
                <w:lang w:val="en-US"/>
              </w:rPr>
            </w:pPr>
            <w:r>
              <w:rPr>
                <w:rFonts w:hint="default" w:ascii="Arial" w:hAnsi="Arial" w:cs="Arial"/>
                <w:bCs/>
                <w:sz w:val="15"/>
                <w:szCs w:val="15"/>
                <w:lang w:val="en-US"/>
              </w:rPr>
              <w:t>17</w:t>
            </w:r>
          </w:p>
        </w:tc>
        <w:tc>
          <w:tcPr>
            <w:tcW w:w="1222" w:type="dxa"/>
          </w:tcPr>
          <w:p>
            <w:pPr>
              <w:rPr>
                <w:rFonts w:hint="default" w:ascii="Arial" w:hAnsi="Arial" w:eastAsia="Times New Roman" w:cs="Arial"/>
                <w:sz w:val="16"/>
                <w:szCs w:val="16"/>
                <w:lang w:val="en-US"/>
              </w:rPr>
            </w:pPr>
            <w:r>
              <w:rPr>
                <w:rFonts w:hint="default" w:ascii="Arial" w:hAnsi="Arial" w:eastAsia="Times New Roman" w:cs="Arial"/>
                <w:sz w:val="16"/>
                <w:szCs w:val="16"/>
                <w:lang w:val="en-US"/>
              </w:rPr>
              <w:t>Penyusunan Peraturan Gubernur tentang Penjabaran Perubahan APBD</w:t>
            </w:r>
          </w:p>
        </w:tc>
        <w:tc>
          <w:tcPr>
            <w:tcW w:w="1276" w:type="dxa"/>
          </w:tcPr>
          <w:p>
            <w:pPr>
              <w:rPr>
                <w:rFonts w:ascii="Arial" w:hAnsi="Arial" w:eastAsia="Times New Roman"/>
                <w:bCs/>
                <w:sz w:val="16"/>
                <w:szCs w:val="16"/>
              </w:rPr>
            </w:pPr>
            <w:r>
              <w:rPr>
                <w:rFonts w:hint="default" w:ascii="Arial" w:hAnsi="Arial" w:eastAsia="Times New Roman"/>
                <w:bCs/>
                <w:sz w:val="16"/>
                <w:szCs w:val="16"/>
              </w:rPr>
              <w:t>Permendagri Nomor 13 Tahun 2006 sebagaimana telah diubah Permendagri Nomor 21 Tahun 2011, Perda Nomor 10 Tahun 2008</w:t>
            </w:r>
          </w:p>
        </w:tc>
        <w:tc>
          <w:tcPr>
            <w:tcW w:w="1181" w:type="dxa"/>
            <w:vAlign w:val="top"/>
          </w:tcPr>
          <w:p>
            <w:pPr>
              <w:rPr>
                <w:rFonts w:hint="default" w:ascii="Arial" w:hAnsi="Arial" w:eastAsia="Times New Roman" w:cs="Arial"/>
                <w:color w:val="000000" w:themeColor="text1"/>
                <w:sz w:val="16"/>
                <w:szCs w:val="16"/>
                <w:lang w:val="en-US" w:eastAsia="en-US" w:bidi="ar-SA"/>
                <w14:textFill>
                  <w14:solidFill>
                    <w14:schemeClr w14:val="tx1"/>
                  </w14:solidFill>
                </w14:textFill>
              </w:rPr>
            </w:pPr>
            <w:r>
              <w:rPr>
                <w:rFonts w:hint="default" w:ascii="Arial" w:hAnsi="Arial" w:eastAsia="Times New Roman" w:cs="Arial"/>
                <w:color w:val="000000" w:themeColor="text1"/>
                <w:sz w:val="16"/>
                <w:szCs w:val="16"/>
                <w14:textFill>
                  <w14:solidFill>
                    <w14:schemeClr w14:val="tx1"/>
                  </w14:solidFill>
                </w14:textFill>
              </w:rPr>
              <w:t>Terlaksananya  Peraturan Gubernur tentang Penjabaran Perubahan APBD Tahun Anggaran 2019</w:t>
            </w:r>
            <w:r>
              <w:rPr>
                <w:rFonts w:hint="default" w:ascii="Arial" w:hAnsi="Arial" w:eastAsia="Times New Roman" w:cs="Arial"/>
                <w:color w:val="000000" w:themeColor="text1"/>
                <w:sz w:val="16"/>
                <w:szCs w:val="16"/>
                <w:lang w:val="en-US"/>
                <w14:textFill>
                  <w14:solidFill>
                    <w14:schemeClr w14:val="tx1"/>
                  </w14:solidFill>
                </w14:textFill>
              </w:rPr>
              <w:t xml:space="preserve"> berupa 245 buku</w:t>
            </w:r>
          </w:p>
        </w:tc>
        <w:tc>
          <w:tcPr>
            <w:tcW w:w="1293" w:type="dxa"/>
            <w:vAlign w:val="top"/>
          </w:tcPr>
          <w:p>
            <w:pPr>
              <w:rPr>
                <w:rFonts w:hint="default" w:ascii="Arial" w:hAnsi="Arial" w:eastAsia="Times New Roman" w:cs="Arial"/>
                <w:color w:val="000000" w:themeColor="text1"/>
                <w:sz w:val="16"/>
                <w:szCs w:val="16"/>
                <w:lang w:val="en-US" w:eastAsia="en-US" w:bidi="ar-SA"/>
                <w14:textFill>
                  <w14:solidFill>
                    <w14:schemeClr w14:val="tx1"/>
                  </w14:solidFill>
                </w14:textFill>
              </w:rPr>
            </w:pPr>
            <w:r>
              <w:rPr>
                <w:rFonts w:hint="default" w:ascii="Arial" w:hAnsi="Arial" w:eastAsia="Times New Roman" w:cs="Arial"/>
                <w:color w:val="000000" w:themeColor="text1"/>
                <w:sz w:val="16"/>
                <w:szCs w:val="16"/>
                <w14:textFill>
                  <w14:solidFill>
                    <w14:schemeClr w14:val="tx1"/>
                  </w14:solidFill>
                </w14:textFill>
              </w:rPr>
              <w:t>Terlaksananya  Peraturan Gubernur tentang Penjabaran Perubahan APBD Tahun Anggaran 2019</w:t>
            </w:r>
            <w:r>
              <w:rPr>
                <w:rFonts w:hint="default" w:ascii="Arial" w:hAnsi="Arial" w:eastAsia="Times New Roman" w:cs="Arial"/>
                <w:color w:val="000000" w:themeColor="text1"/>
                <w:sz w:val="16"/>
                <w:szCs w:val="16"/>
                <w:lang w:val="en-US"/>
                <w14:textFill>
                  <w14:solidFill>
                    <w14:schemeClr w14:val="tx1"/>
                  </w14:solidFill>
                </w14:textFill>
              </w:rPr>
              <w:t xml:space="preserve"> berupa 245 buku</w:t>
            </w:r>
          </w:p>
        </w:tc>
        <w:tc>
          <w:tcPr>
            <w:tcW w:w="1028" w:type="dxa"/>
          </w:tcPr>
          <w:p>
            <w:pPr>
              <w:pStyle w:val="30"/>
              <w:spacing w:before="60" w:after="60" w:line="240" w:lineRule="auto"/>
              <w:ind w:left="0"/>
              <w:contextualSpacing w:val="0"/>
              <w:jc w:val="both"/>
              <w:rPr>
                <w:rFonts w:hint="default" w:ascii="Arial" w:hAnsi="Arial" w:cs="Arial"/>
                <w:bCs/>
                <w:sz w:val="16"/>
                <w:szCs w:val="16"/>
                <w:lang w:val="en-US"/>
              </w:rPr>
            </w:pPr>
            <w:r>
              <w:rPr>
                <w:rFonts w:hint="default" w:ascii="Arial" w:hAnsi="Arial" w:cs="Arial"/>
                <w:bCs/>
                <w:sz w:val="16"/>
                <w:szCs w:val="16"/>
                <w:lang w:val="en-US"/>
              </w:rPr>
              <w:t>100</w:t>
            </w:r>
          </w:p>
        </w:tc>
        <w:tc>
          <w:tcPr>
            <w:tcW w:w="1445" w:type="dxa"/>
          </w:tcPr>
          <w:p>
            <w:pPr>
              <w:pStyle w:val="30"/>
              <w:spacing w:before="60" w:after="60" w:line="240" w:lineRule="auto"/>
              <w:ind w:left="0"/>
              <w:contextualSpacing w:val="0"/>
              <w:jc w:val="both"/>
              <w:rPr>
                <w:rFonts w:hint="default" w:ascii="Arial" w:hAnsi="Arial" w:cs="Arial"/>
                <w:bCs/>
                <w:sz w:val="15"/>
                <w:szCs w:val="15"/>
                <w:lang w:val="en-US"/>
              </w:rPr>
            </w:pPr>
            <w:r>
              <w:rPr>
                <w:rFonts w:hint="default" w:ascii="Arial" w:hAnsi="Arial" w:cs="Arial"/>
                <w:bCs/>
                <w:sz w:val="15"/>
                <w:szCs w:val="15"/>
                <w:lang w:val="en-US"/>
              </w:rPr>
              <w:t>252.897.250,-</w:t>
            </w:r>
          </w:p>
        </w:tc>
        <w:tc>
          <w:tcPr>
            <w:tcW w:w="1387" w:type="dxa"/>
          </w:tcPr>
          <w:p>
            <w:pPr>
              <w:pStyle w:val="30"/>
              <w:spacing w:before="60" w:after="60" w:line="240" w:lineRule="auto"/>
              <w:ind w:left="0"/>
              <w:contextualSpacing w:val="0"/>
              <w:jc w:val="both"/>
              <w:rPr>
                <w:rFonts w:hint="default" w:ascii="Arial" w:hAnsi="Arial" w:cs="Arial"/>
                <w:bCs/>
                <w:sz w:val="15"/>
                <w:szCs w:val="15"/>
                <w:lang w:val="en-US"/>
              </w:rPr>
            </w:pPr>
            <w:r>
              <w:rPr>
                <w:rFonts w:hint="default" w:ascii="Arial" w:hAnsi="Arial" w:cs="Arial"/>
                <w:bCs/>
                <w:sz w:val="15"/>
                <w:szCs w:val="15"/>
                <w:lang w:val="en-US"/>
              </w:rPr>
              <w:t>235.060.000,-</w:t>
            </w:r>
          </w:p>
        </w:tc>
        <w:tc>
          <w:tcPr>
            <w:tcW w:w="1294" w:type="dxa"/>
          </w:tcPr>
          <w:p>
            <w:pPr>
              <w:pStyle w:val="30"/>
              <w:spacing w:before="60" w:after="60" w:line="240" w:lineRule="auto"/>
              <w:ind w:left="0"/>
              <w:contextualSpacing w:val="0"/>
              <w:jc w:val="both"/>
              <w:rPr>
                <w:rFonts w:hint="default" w:ascii="Arial" w:hAnsi="Arial" w:cs="Arial"/>
                <w:bCs/>
                <w:sz w:val="15"/>
                <w:szCs w:val="15"/>
                <w:lang w:val="en-US"/>
              </w:rPr>
            </w:pPr>
            <w:r>
              <w:rPr>
                <w:rFonts w:hint="default" w:ascii="Arial" w:hAnsi="Arial" w:cs="Arial"/>
                <w:bCs/>
                <w:sz w:val="15"/>
                <w:szCs w:val="15"/>
                <w:lang w:val="en-US"/>
              </w:rPr>
              <w:t>92,95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1</w:t>
            </w:r>
            <w:r>
              <w:rPr>
                <w:rFonts w:hint="default" w:ascii="Arial" w:hAnsi="Arial" w:cs="Arial"/>
                <w:bCs/>
                <w:sz w:val="15"/>
                <w:szCs w:val="15"/>
                <w:lang w:val="en-US"/>
              </w:rPr>
              <w:t>8</w:t>
            </w:r>
          </w:p>
        </w:tc>
        <w:tc>
          <w:tcPr>
            <w:tcW w:w="1222"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Tatakelola Program Hibah Jalan Daerah (PHJD)</w:t>
            </w:r>
          </w:p>
        </w:tc>
        <w:tc>
          <w:tcPr>
            <w:tcW w:w="1276" w:type="dxa"/>
          </w:tcPr>
          <w:p>
            <w:pPr>
              <w:pStyle w:val="30"/>
              <w:numPr>
                <w:ilvl w:val="0"/>
                <w:numId w:val="46"/>
              </w:numPr>
              <w:spacing w:before="60" w:after="60" w:line="240" w:lineRule="auto"/>
              <w:ind w:left="128" w:hanging="180"/>
              <w:contextualSpacing w:val="0"/>
              <w:rPr>
                <w:rFonts w:ascii="Arial" w:hAnsi="Arial" w:cs="Arial"/>
                <w:bCs/>
                <w:sz w:val="16"/>
                <w:szCs w:val="16"/>
              </w:rPr>
            </w:pPr>
            <w:r>
              <w:rPr>
                <w:rFonts w:ascii="Arial" w:hAnsi="Arial" w:cs="Arial"/>
                <w:sz w:val="16"/>
                <w:szCs w:val="16"/>
              </w:rPr>
              <w:t>Surat Menteri Keuangan Nomor S-2/MK.07/2020 tanggal 4 Februari 2020 tentang Penetapan Pemberian Hibah untuk Program Hibah Jalan Daerah dari Sumber Dana Penerimaan Dalam Negeri Tahun Anggaran 2020.</w:t>
            </w:r>
          </w:p>
          <w:p>
            <w:pPr>
              <w:pStyle w:val="30"/>
              <w:numPr>
                <w:ilvl w:val="0"/>
                <w:numId w:val="46"/>
              </w:numPr>
              <w:spacing w:before="60" w:after="60" w:line="240" w:lineRule="auto"/>
              <w:ind w:left="128" w:hanging="180"/>
              <w:contextualSpacing w:val="0"/>
              <w:rPr>
                <w:rFonts w:ascii="Arial" w:hAnsi="Arial" w:cs="Arial"/>
                <w:bCs/>
                <w:sz w:val="16"/>
                <w:szCs w:val="16"/>
              </w:rPr>
            </w:pPr>
            <w:r>
              <w:rPr>
                <w:rFonts w:ascii="Arial" w:hAnsi="Arial" w:cs="Arial"/>
                <w:sz w:val="16"/>
                <w:szCs w:val="16"/>
              </w:rPr>
              <w:t>Amandemen 2 Januari 2020 Manual Manajemen Program (Program Management Manual/PMM) Program Hibah Jalan Daerah.</w:t>
            </w:r>
          </w:p>
          <w:p>
            <w:pPr>
              <w:ind w:left="120" w:hanging="120" w:hangingChars="75"/>
              <w:rPr>
                <w:rFonts w:ascii="Arial" w:hAnsi="Arial" w:eastAsia="Times New Roman" w:cs="Arial"/>
                <w:bCs/>
                <w:sz w:val="16"/>
                <w:szCs w:val="16"/>
              </w:rPr>
            </w:pPr>
            <w:r>
              <w:rPr>
                <w:rFonts w:ascii="Arial" w:hAnsi="Arial" w:cs="Arial"/>
                <w:sz w:val="16"/>
                <w:szCs w:val="16"/>
              </w:rPr>
              <w:t>- Perjanjian Hibah Daerah antara Pemerintah Pusat dengan Pemerintah Provinsi Sumatera Barat untuk Program Hibah Jalan Daerah Nomor PHD-06/MK.07/2020 tanggal 13 Maret 2020</w:t>
            </w:r>
          </w:p>
        </w:tc>
        <w:tc>
          <w:tcPr>
            <w:tcW w:w="1181" w:type="dxa"/>
          </w:tcPr>
          <w:p>
            <w:pPr>
              <w:rPr>
                <w:rFonts w:ascii="Arial" w:hAnsi="Arial" w:eastAsia="Times New Roman" w:cs="Arial"/>
                <w:sz w:val="16"/>
                <w:szCs w:val="16"/>
              </w:rPr>
            </w:pPr>
            <w:r>
              <w:rPr>
                <w:rFonts w:ascii="Arial" w:hAnsi="Arial" w:eastAsia="Times New Roman" w:cs="Arial"/>
                <w:sz w:val="16"/>
                <w:szCs w:val="16"/>
              </w:rPr>
              <w:t>Terlaksananya tatakelola keuangan program hibah jalan daerah dan tersedianya laporan</w:t>
            </w:r>
            <w:r>
              <w:rPr>
                <w:rFonts w:ascii="Arial" w:hAnsi="Arial" w:cs="Arial"/>
                <w:sz w:val="16"/>
                <w:szCs w:val="16"/>
              </w:rPr>
              <w:t xml:space="preserve"> berupa 2 dokumen</w:t>
            </w:r>
          </w:p>
        </w:tc>
        <w:tc>
          <w:tcPr>
            <w:tcW w:w="1293" w:type="dxa"/>
          </w:tcPr>
          <w:p>
            <w:pPr>
              <w:rPr>
                <w:rFonts w:ascii="Arial" w:hAnsi="Arial" w:cs="Arial"/>
                <w:bCs/>
                <w:sz w:val="16"/>
                <w:szCs w:val="16"/>
              </w:rPr>
            </w:pPr>
            <w:r>
              <w:rPr>
                <w:rFonts w:ascii="Arial" w:hAnsi="Arial" w:eastAsia="Times New Roman" w:cs="Arial"/>
                <w:sz w:val="16"/>
                <w:szCs w:val="16"/>
              </w:rPr>
              <w:t>Terlaksananya tatakelola keuangan program hibah jalan daerah dan tersedianya laporan</w:t>
            </w:r>
            <w:r>
              <w:rPr>
                <w:rFonts w:ascii="Arial" w:hAnsi="Arial" w:cs="Arial"/>
                <w:sz w:val="16"/>
                <w:szCs w:val="16"/>
              </w:rPr>
              <w:t xml:space="preserve"> berupa 2 dokumen</w:t>
            </w:r>
          </w:p>
        </w:tc>
        <w:tc>
          <w:tcPr>
            <w:tcW w:w="1028"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100</w:t>
            </w:r>
          </w:p>
        </w:tc>
        <w:tc>
          <w:tcPr>
            <w:tcW w:w="1445"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180.000.000,-</w:t>
            </w:r>
          </w:p>
        </w:tc>
        <w:tc>
          <w:tcPr>
            <w:tcW w:w="1387"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166.592.143,00</w:t>
            </w:r>
          </w:p>
        </w:tc>
        <w:tc>
          <w:tcPr>
            <w:tcW w:w="1294"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92,00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shd w:val="clear" w:color="auto" w:fill="EBF1DE" w:themeFill="accent3" w:themeFillTint="32"/>
          </w:tcPr>
          <w:p>
            <w:pPr>
              <w:pStyle w:val="30"/>
              <w:spacing w:before="60" w:after="60" w:line="240" w:lineRule="auto"/>
              <w:ind w:left="150" w:right="-105"/>
              <w:contextualSpacing w:val="0"/>
              <w:jc w:val="both"/>
              <w:rPr>
                <w:rFonts w:ascii="Arial" w:hAnsi="Arial" w:eastAsia="Times New Roman" w:cs="Arial"/>
                <w:b/>
                <w:i/>
                <w:iCs/>
                <w:sz w:val="15"/>
                <w:szCs w:val="15"/>
              </w:rPr>
            </w:pPr>
            <w:r>
              <w:rPr>
                <w:rFonts w:ascii="Arial" w:hAnsi="Arial" w:cs="Arial"/>
                <w:b/>
                <w:i/>
                <w:iCs/>
                <w:sz w:val="15"/>
                <w:szCs w:val="15"/>
              </w:rPr>
              <w:t>VII</w:t>
            </w:r>
          </w:p>
        </w:tc>
        <w:tc>
          <w:tcPr>
            <w:tcW w:w="1222" w:type="dxa"/>
            <w:shd w:val="clear" w:color="auto" w:fill="EBF1DE" w:themeFill="accent3" w:themeFillTint="32"/>
          </w:tcPr>
          <w:p>
            <w:pPr>
              <w:pStyle w:val="30"/>
              <w:spacing w:before="60" w:after="60" w:line="240" w:lineRule="auto"/>
              <w:ind w:left="0"/>
              <w:contextualSpacing w:val="0"/>
              <w:rPr>
                <w:rFonts w:ascii="Arial" w:hAnsi="Arial" w:eastAsia="Times New Roman" w:cs="Arial"/>
                <w:b/>
                <w:i/>
                <w:iCs/>
                <w:sz w:val="15"/>
                <w:szCs w:val="15"/>
              </w:rPr>
            </w:pPr>
            <w:r>
              <w:rPr>
                <w:rFonts w:ascii="Arial" w:hAnsi="Arial" w:cs="Arial"/>
                <w:b/>
                <w:i/>
                <w:iCs/>
                <w:sz w:val="15"/>
                <w:szCs w:val="15"/>
              </w:rPr>
              <w:t>Program Pembinaan dan Fasilitasi Pengelolaan Keuangan Kabupaten/Kota</w:t>
            </w:r>
          </w:p>
        </w:tc>
        <w:tc>
          <w:tcPr>
            <w:tcW w:w="1276" w:type="dxa"/>
            <w:shd w:val="clear" w:color="auto" w:fill="EBF1DE" w:themeFill="accent3" w:themeFillTint="32"/>
          </w:tcPr>
          <w:p>
            <w:pPr>
              <w:rPr>
                <w:rFonts w:ascii="Arial" w:hAnsi="Arial" w:eastAsia="Times New Roman" w:cs="Arial"/>
                <w:b/>
                <w:i/>
                <w:iCs/>
                <w:sz w:val="15"/>
                <w:szCs w:val="15"/>
              </w:rPr>
            </w:pPr>
          </w:p>
        </w:tc>
        <w:tc>
          <w:tcPr>
            <w:tcW w:w="1181"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293"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028"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445"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387"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294"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1</w:t>
            </w:r>
          </w:p>
        </w:tc>
        <w:tc>
          <w:tcPr>
            <w:tcW w:w="1222" w:type="dxa"/>
          </w:tcPr>
          <w:p>
            <w:pPr>
              <w:rPr>
                <w:rFonts w:ascii="Arial" w:hAnsi="Arial" w:eastAsia="Times New Roman" w:cs="Arial"/>
                <w:bCs/>
                <w:sz w:val="16"/>
                <w:szCs w:val="16"/>
              </w:rPr>
            </w:pPr>
            <w:r>
              <w:rPr>
                <w:rFonts w:ascii="Arial" w:hAnsi="Arial" w:cs="Arial"/>
                <w:bCs/>
                <w:sz w:val="16"/>
                <w:szCs w:val="16"/>
                <w:lang w:val="id-ID"/>
              </w:rPr>
              <w:t xml:space="preserve">Evaluasi </w:t>
            </w:r>
            <w:r>
              <w:rPr>
                <w:rFonts w:ascii="Arial" w:hAnsi="Arial" w:cs="Arial"/>
                <w:bCs/>
                <w:sz w:val="16"/>
                <w:szCs w:val="16"/>
              </w:rPr>
              <w:t xml:space="preserve">Rancangan Perda tentang </w:t>
            </w:r>
            <w:r>
              <w:rPr>
                <w:rFonts w:ascii="Arial" w:hAnsi="Arial" w:cs="Arial"/>
                <w:bCs/>
                <w:sz w:val="16"/>
                <w:szCs w:val="16"/>
                <w:lang w:val="id-ID"/>
              </w:rPr>
              <w:t xml:space="preserve">APBD, Perubahan APBD dan Pertanggungjawaban </w:t>
            </w:r>
            <w:r>
              <w:rPr>
                <w:rFonts w:ascii="Arial" w:hAnsi="Arial" w:cs="Arial"/>
                <w:bCs/>
                <w:sz w:val="16"/>
                <w:szCs w:val="16"/>
              </w:rPr>
              <w:t xml:space="preserve">Pelaksanaan </w:t>
            </w:r>
            <w:r>
              <w:rPr>
                <w:rFonts w:ascii="Arial" w:hAnsi="Arial" w:cs="Arial"/>
                <w:bCs/>
                <w:sz w:val="16"/>
                <w:szCs w:val="16"/>
                <w:lang w:val="id-ID"/>
              </w:rPr>
              <w:t xml:space="preserve">APBD </w:t>
            </w:r>
            <w:r>
              <w:rPr>
                <w:rFonts w:ascii="Arial" w:hAnsi="Arial" w:cs="Arial"/>
                <w:bCs/>
                <w:sz w:val="16"/>
                <w:szCs w:val="16"/>
              </w:rPr>
              <w:t>serta Rancangan Perbup/Perwako tentang Penjabaran APBD, Perubahan APBD dan Pertanggungjawaban Pelaksanaan APBD</w:t>
            </w:r>
            <w:r>
              <w:rPr>
                <w:rFonts w:ascii="Arial" w:hAnsi="Arial" w:cs="Arial"/>
                <w:bCs/>
                <w:sz w:val="16"/>
                <w:szCs w:val="16"/>
                <w:lang w:val="id-ID"/>
              </w:rPr>
              <w:t>Kab</w:t>
            </w:r>
            <w:r>
              <w:rPr>
                <w:rFonts w:ascii="Arial" w:hAnsi="Arial" w:cs="Arial"/>
                <w:bCs/>
                <w:sz w:val="16"/>
                <w:szCs w:val="16"/>
              </w:rPr>
              <w:t>upaten</w:t>
            </w:r>
            <w:r>
              <w:rPr>
                <w:rFonts w:ascii="Arial" w:hAnsi="Arial" w:cs="Arial"/>
                <w:bCs/>
                <w:sz w:val="16"/>
                <w:szCs w:val="16"/>
                <w:lang w:val="id-ID"/>
              </w:rPr>
              <w:t>/Kota</w:t>
            </w:r>
          </w:p>
        </w:tc>
        <w:tc>
          <w:tcPr>
            <w:tcW w:w="1276" w:type="dxa"/>
          </w:tcPr>
          <w:p>
            <w:pPr>
              <w:pStyle w:val="30"/>
              <w:spacing w:before="60" w:after="60"/>
              <w:ind w:left="0"/>
              <w:contextualSpacing w:val="0"/>
              <w:jc w:val="both"/>
              <w:rPr>
                <w:rFonts w:ascii="Arial" w:hAnsi="Arial" w:eastAsia="Times New Roman" w:cs="Arial"/>
                <w:bCs/>
                <w:sz w:val="16"/>
                <w:szCs w:val="16"/>
              </w:rPr>
            </w:pPr>
            <w:r>
              <w:rPr>
                <w:rFonts w:ascii="Arial" w:hAnsi="Arial" w:cs="Arial"/>
                <w:sz w:val="16"/>
                <w:szCs w:val="16"/>
                <w:lang w:val="en-GB"/>
              </w:rPr>
              <w:t xml:space="preserve">Undang-Undang Nomor 23 Tahun 2014 tentang Pemerintah Daerah,        </w:t>
            </w:r>
            <w:r>
              <w:rPr>
                <w:rFonts w:ascii="Arial" w:hAnsi="Arial" w:cs="Arial"/>
                <w:sz w:val="16"/>
                <w:szCs w:val="16"/>
                <w:lang w:val="id-ID"/>
              </w:rPr>
              <w:t xml:space="preserve">Peraturan Pemerintah Nomor </w:t>
            </w:r>
            <w:r>
              <w:rPr>
                <w:rFonts w:ascii="Arial" w:hAnsi="Arial" w:cs="Arial"/>
                <w:sz w:val="16"/>
                <w:szCs w:val="16"/>
                <w:lang w:val="en-GB"/>
              </w:rPr>
              <w:t>12</w:t>
            </w:r>
            <w:r>
              <w:rPr>
                <w:rFonts w:ascii="Arial" w:hAnsi="Arial" w:cs="Arial"/>
                <w:sz w:val="16"/>
                <w:szCs w:val="16"/>
                <w:lang w:val="id-ID"/>
              </w:rPr>
              <w:t xml:space="preserve"> Tahun 20</w:t>
            </w:r>
            <w:r>
              <w:rPr>
                <w:rFonts w:ascii="Arial" w:hAnsi="Arial" w:cs="Arial"/>
                <w:sz w:val="16"/>
                <w:szCs w:val="16"/>
                <w:lang w:val="en-GB"/>
              </w:rPr>
              <w:t>19</w:t>
            </w:r>
            <w:r>
              <w:rPr>
                <w:rFonts w:ascii="Arial" w:hAnsi="Arial" w:cs="Arial"/>
                <w:sz w:val="16"/>
                <w:szCs w:val="16"/>
                <w:lang w:val="id-ID"/>
              </w:rPr>
              <w:t xml:space="preserve"> tentang Pengelolaan Keuangan Daerah</w:t>
            </w:r>
          </w:p>
        </w:tc>
        <w:tc>
          <w:tcPr>
            <w:tcW w:w="1181" w:type="dxa"/>
          </w:tcPr>
          <w:p>
            <w:pPr>
              <w:rPr>
                <w:rFonts w:ascii="Arial" w:hAnsi="Arial" w:eastAsia="Times New Roman" w:cs="Arial"/>
                <w:sz w:val="16"/>
                <w:szCs w:val="16"/>
              </w:rPr>
            </w:pPr>
            <w:r>
              <w:rPr>
                <w:rFonts w:ascii="Arial" w:hAnsi="Arial" w:eastAsia="Times New Roman" w:cs="Arial"/>
                <w:sz w:val="16"/>
                <w:szCs w:val="16"/>
              </w:rPr>
              <w:t>Diterbitkannya SK Gubernur tentang Hasil Evaluasi Rancangan Perda tentang APBD dan Rancangan Perbup/Wako tentang Penjabaran APBD Kabupaten/Kota tahun 2021</w:t>
            </w:r>
            <w:r>
              <w:rPr>
                <w:rFonts w:ascii="Arial" w:hAnsi="Arial" w:cs="Arial"/>
                <w:sz w:val="16"/>
                <w:szCs w:val="16"/>
              </w:rPr>
              <w:t xml:space="preserve"> berupa 3 dokumen</w:t>
            </w:r>
          </w:p>
        </w:tc>
        <w:tc>
          <w:tcPr>
            <w:tcW w:w="1293" w:type="dxa"/>
          </w:tcPr>
          <w:p>
            <w:pPr>
              <w:rPr>
                <w:rFonts w:ascii="Arial" w:hAnsi="Arial" w:cs="Arial"/>
                <w:bCs/>
                <w:sz w:val="16"/>
                <w:szCs w:val="16"/>
              </w:rPr>
            </w:pPr>
            <w:r>
              <w:rPr>
                <w:rFonts w:ascii="Arial" w:hAnsi="Arial" w:eastAsia="Times New Roman" w:cs="Arial"/>
                <w:sz w:val="16"/>
                <w:szCs w:val="16"/>
              </w:rPr>
              <w:t>Diterbitkannya SK Gubernur tentang Hasil Evaluasi Rancangan Perda tentang APBD dan Rancangan Perbup/Wako tentang Penjabaran APBD Kabupaten/Kota tahun 2021</w:t>
            </w:r>
            <w:r>
              <w:rPr>
                <w:rFonts w:ascii="Arial" w:hAnsi="Arial" w:cs="Arial"/>
                <w:sz w:val="16"/>
                <w:szCs w:val="16"/>
              </w:rPr>
              <w:t xml:space="preserve"> berupa 3 dokumen</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381.964.515,00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368.276.896,00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96,42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2</w:t>
            </w:r>
          </w:p>
        </w:tc>
        <w:tc>
          <w:tcPr>
            <w:tcW w:w="1222" w:type="dxa"/>
          </w:tcPr>
          <w:p>
            <w:pPr>
              <w:rPr>
                <w:rFonts w:ascii="Arial" w:hAnsi="Arial" w:eastAsia="Times New Roman" w:cs="Arial"/>
                <w:sz w:val="16"/>
                <w:szCs w:val="16"/>
              </w:rPr>
            </w:pPr>
            <w:r>
              <w:rPr>
                <w:rFonts w:ascii="Arial" w:hAnsi="Arial" w:eastAsia="Times New Roman" w:cs="Arial"/>
                <w:sz w:val="16"/>
                <w:szCs w:val="16"/>
              </w:rPr>
              <w:t>Rapat Koordinasi Pengelola Keuangan Daerah Se-Sumatera Barat</w:t>
            </w:r>
          </w:p>
        </w:tc>
        <w:tc>
          <w:tcPr>
            <w:tcW w:w="1276" w:type="dxa"/>
          </w:tcPr>
          <w:p>
            <w:pPr>
              <w:pStyle w:val="30"/>
              <w:spacing w:before="60" w:after="60"/>
              <w:ind w:left="0"/>
              <w:contextualSpacing w:val="0"/>
              <w:jc w:val="both"/>
              <w:rPr>
                <w:rFonts w:ascii="Arial" w:hAnsi="Arial" w:eastAsia="Times New Roman" w:cs="Arial"/>
                <w:bCs/>
                <w:sz w:val="16"/>
                <w:szCs w:val="16"/>
              </w:rPr>
            </w:pPr>
            <w:r>
              <w:rPr>
                <w:rFonts w:ascii="Arial" w:hAnsi="Arial" w:cs="Arial"/>
                <w:sz w:val="16"/>
                <w:szCs w:val="16"/>
                <w:lang w:val="en-GB"/>
              </w:rPr>
              <w:t xml:space="preserve">-Undang Nomor 23 Tahun 2014 tentang Pemerintah Daerah Pasal 91 s/d 93 dan </w:t>
            </w:r>
            <w:r>
              <w:rPr>
                <w:rFonts w:ascii="Arial" w:hAnsi="Arial" w:cs="Arial"/>
                <w:bCs/>
                <w:iCs/>
                <w:sz w:val="16"/>
                <w:szCs w:val="16"/>
              </w:rPr>
              <w:t>Permendagri Nomor 13 tahun 2006 Pasal 309 dan 310</w:t>
            </w:r>
          </w:p>
        </w:tc>
        <w:tc>
          <w:tcPr>
            <w:tcW w:w="1181" w:type="dxa"/>
          </w:tcPr>
          <w:p>
            <w:pPr>
              <w:rPr>
                <w:rFonts w:ascii="Arial" w:hAnsi="Arial" w:eastAsia="Times New Roman" w:cs="Arial"/>
                <w:sz w:val="16"/>
                <w:szCs w:val="16"/>
              </w:rPr>
            </w:pPr>
            <w:r>
              <w:rPr>
                <w:rFonts w:ascii="Arial" w:hAnsi="Arial" w:eastAsia="Times New Roman" w:cs="Arial"/>
                <w:sz w:val="16"/>
                <w:szCs w:val="16"/>
              </w:rPr>
              <w:t>Terlaksana</w:t>
            </w:r>
            <w:r>
              <w:rPr>
                <w:rFonts w:ascii="Arial" w:hAnsi="Arial" w:cs="Arial"/>
                <w:sz w:val="16"/>
                <w:szCs w:val="16"/>
              </w:rPr>
              <w:t>n</w:t>
            </w:r>
            <w:r>
              <w:rPr>
                <w:rFonts w:ascii="Arial" w:hAnsi="Arial" w:eastAsia="Times New Roman" w:cs="Arial"/>
                <w:sz w:val="16"/>
                <w:szCs w:val="16"/>
              </w:rPr>
              <w:t>ya Rapat Koordinasi pengelola keuangan daerah se Sumatera Barat</w:t>
            </w:r>
            <w:r>
              <w:rPr>
                <w:rFonts w:ascii="Arial" w:hAnsi="Arial" w:cs="Arial"/>
                <w:sz w:val="16"/>
                <w:szCs w:val="16"/>
              </w:rPr>
              <w:t xml:space="preserve"> berupa 1 kegiatan FGD</w:t>
            </w:r>
          </w:p>
        </w:tc>
        <w:tc>
          <w:tcPr>
            <w:tcW w:w="1293" w:type="dxa"/>
          </w:tcPr>
          <w:p>
            <w:pPr>
              <w:rPr>
                <w:rFonts w:ascii="Arial" w:hAnsi="Arial" w:cs="Arial"/>
                <w:bCs/>
                <w:sz w:val="16"/>
                <w:szCs w:val="16"/>
              </w:rPr>
            </w:pPr>
            <w:r>
              <w:rPr>
                <w:rFonts w:ascii="Arial" w:hAnsi="Arial" w:eastAsia="Times New Roman" w:cs="Arial"/>
                <w:sz w:val="16"/>
                <w:szCs w:val="16"/>
              </w:rPr>
              <w:t>Terlaksana</w:t>
            </w:r>
            <w:r>
              <w:rPr>
                <w:rFonts w:ascii="Arial" w:hAnsi="Arial" w:cs="Arial"/>
                <w:sz w:val="16"/>
                <w:szCs w:val="16"/>
              </w:rPr>
              <w:t>n</w:t>
            </w:r>
            <w:r>
              <w:rPr>
                <w:rFonts w:ascii="Arial" w:hAnsi="Arial" w:eastAsia="Times New Roman" w:cs="Arial"/>
                <w:sz w:val="16"/>
                <w:szCs w:val="16"/>
              </w:rPr>
              <w:t>ya Rapat Koordinasi pengelola keuangan daerah se Sumatera Barat</w:t>
            </w:r>
            <w:r>
              <w:rPr>
                <w:rFonts w:ascii="Arial" w:hAnsi="Arial" w:cs="Arial"/>
                <w:sz w:val="16"/>
                <w:szCs w:val="16"/>
              </w:rPr>
              <w:t xml:space="preserve"> berupa 1 kegiatan FGD</w:t>
            </w:r>
          </w:p>
        </w:tc>
        <w:tc>
          <w:tcPr>
            <w:tcW w:w="1028"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26.225.900,00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26.225.900,00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3</w:t>
            </w:r>
          </w:p>
        </w:tc>
        <w:tc>
          <w:tcPr>
            <w:tcW w:w="1222" w:type="dxa"/>
          </w:tcPr>
          <w:p>
            <w:pPr>
              <w:rPr>
                <w:rFonts w:ascii="Arial" w:hAnsi="Arial" w:eastAsia="Times New Roman" w:cs="Arial"/>
                <w:sz w:val="16"/>
                <w:szCs w:val="16"/>
              </w:rPr>
            </w:pPr>
            <w:r>
              <w:rPr>
                <w:rFonts w:ascii="Arial" w:hAnsi="Arial" w:eastAsia="Times New Roman" w:cs="Arial"/>
                <w:sz w:val="16"/>
                <w:szCs w:val="16"/>
              </w:rPr>
              <w:t>Sosialisasi Peraturan Perundang-undangan tentang Pengelolaan Keuangan Daerah Kepada Kab/Kota</w:t>
            </w:r>
          </w:p>
        </w:tc>
        <w:tc>
          <w:tcPr>
            <w:tcW w:w="1276" w:type="dxa"/>
          </w:tcPr>
          <w:p>
            <w:pPr>
              <w:rPr>
                <w:rFonts w:ascii="Arial" w:hAnsi="Arial" w:eastAsia="Times New Roman" w:cs="Arial"/>
                <w:bCs/>
                <w:sz w:val="16"/>
                <w:szCs w:val="16"/>
              </w:rPr>
            </w:pPr>
            <w:r>
              <w:rPr>
                <w:rFonts w:ascii="Arial" w:hAnsi="Arial" w:cs="Arial"/>
                <w:bCs/>
                <w:sz w:val="16"/>
                <w:szCs w:val="16"/>
              </w:rPr>
              <w:t>-</w:t>
            </w:r>
          </w:p>
        </w:tc>
        <w:tc>
          <w:tcPr>
            <w:tcW w:w="1181" w:type="dxa"/>
          </w:tcPr>
          <w:p>
            <w:pPr>
              <w:pStyle w:val="30"/>
              <w:spacing w:before="60" w:after="60" w:line="240" w:lineRule="auto"/>
              <w:ind w:left="0"/>
              <w:contextualSpacing w:val="0"/>
              <w:jc w:val="both"/>
              <w:rPr>
                <w:rFonts w:ascii="Arial" w:hAnsi="Arial" w:cs="Arial"/>
                <w:bCs/>
                <w:sz w:val="16"/>
                <w:szCs w:val="16"/>
              </w:rPr>
            </w:pPr>
            <w:r>
              <w:rPr>
                <w:rFonts w:ascii="Arial" w:hAnsi="Arial" w:eastAsia="Times New Roman" w:cs="Arial"/>
                <w:sz w:val="16"/>
                <w:szCs w:val="16"/>
              </w:rPr>
              <w:t>Tidak terlaksana karena termasuk kegiatan yang terdampak rasionalisasi penanganan Covid-19</w:t>
            </w:r>
          </w:p>
        </w:tc>
        <w:tc>
          <w:tcPr>
            <w:tcW w:w="1293" w:type="dxa"/>
          </w:tcPr>
          <w:p>
            <w:pPr>
              <w:pStyle w:val="30"/>
              <w:spacing w:before="60" w:after="60" w:line="240" w:lineRule="auto"/>
              <w:ind w:left="0"/>
              <w:contextualSpacing w:val="0"/>
              <w:jc w:val="both"/>
              <w:rPr>
                <w:rFonts w:ascii="Arial" w:hAnsi="Arial" w:cs="Arial"/>
                <w:bCs/>
                <w:sz w:val="15"/>
                <w:szCs w:val="15"/>
              </w:rPr>
            </w:pPr>
            <w:r>
              <w:rPr>
                <w:rFonts w:ascii="Arial" w:hAnsi="Arial" w:eastAsia="Times New Roman" w:cs="Arial"/>
                <w:sz w:val="16"/>
                <w:szCs w:val="16"/>
              </w:rPr>
              <w:t>Tidak terlaksana karena termasuk kegiatan yang terdampak rasionalisasi penanganan Covid-19</w:t>
            </w:r>
          </w:p>
        </w:tc>
        <w:tc>
          <w:tcPr>
            <w:tcW w:w="1028" w:type="dxa"/>
          </w:tcPr>
          <w:p>
            <w:pPr>
              <w:pStyle w:val="30"/>
              <w:spacing w:before="60" w:after="60" w:line="240" w:lineRule="auto"/>
              <w:ind w:left="0"/>
              <w:contextualSpacing w:val="0"/>
              <w:jc w:val="both"/>
              <w:rPr>
                <w:rFonts w:ascii="Arial" w:hAnsi="Arial" w:cs="Arial"/>
                <w:bCs/>
                <w:sz w:val="15"/>
                <w:szCs w:val="15"/>
              </w:rPr>
            </w:pPr>
          </w:p>
        </w:tc>
        <w:tc>
          <w:tcPr>
            <w:tcW w:w="1445" w:type="dxa"/>
          </w:tcPr>
          <w:p>
            <w:pPr>
              <w:pStyle w:val="30"/>
              <w:spacing w:before="60" w:after="60" w:line="240" w:lineRule="auto"/>
              <w:ind w:left="0"/>
              <w:contextualSpacing w:val="0"/>
              <w:jc w:val="both"/>
              <w:rPr>
                <w:rFonts w:ascii="Arial" w:hAnsi="Arial" w:cs="Arial"/>
                <w:bCs/>
                <w:sz w:val="15"/>
                <w:szCs w:val="15"/>
              </w:rPr>
            </w:pPr>
          </w:p>
        </w:tc>
        <w:tc>
          <w:tcPr>
            <w:tcW w:w="1387" w:type="dxa"/>
          </w:tcPr>
          <w:p>
            <w:pPr>
              <w:pStyle w:val="30"/>
              <w:spacing w:before="60" w:after="60" w:line="240" w:lineRule="auto"/>
              <w:ind w:left="0"/>
              <w:contextualSpacing w:val="0"/>
              <w:jc w:val="both"/>
              <w:rPr>
                <w:rFonts w:ascii="Arial" w:hAnsi="Arial" w:cs="Arial"/>
                <w:bCs/>
                <w:sz w:val="15"/>
                <w:szCs w:val="15"/>
              </w:rPr>
            </w:pPr>
          </w:p>
        </w:tc>
        <w:tc>
          <w:tcPr>
            <w:tcW w:w="1294" w:type="dxa"/>
          </w:tcPr>
          <w:p>
            <w:pPr>
              <w:pStyle w:val="30"/>
              <w:spacing w:before="60" w:after="60" w:line="240" w:lineRule="auto"/>
              <w:ind w:left="0"/>
              <w:contextualSpacing w:val="0"/>
              <w:jc w:val="both"/>
              <w:rPr>
                <w:rFonts w:ascii="Arial" w:hAnsi="Arial" w:cs="Arial"/>
                <w:bCs/>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4</w:t>
            </w:r>
          </w:p>
        </w:tc>
        <w:tc>
          <w:tcPr>
            <w:tcW w:w="1222" w:type="dxa"/>
          </w:tcPr>
          <w:p>
            <w:pPr>
              <w:rPr>
                <w:rFonts w:ascii="Arial" w:hAnsi="Arial" w:eastAsia="Times New Roman" w:cs="Arial"/>
                <w:sz w:val="16"/>
                <w:szCs w:val="16"/>
              </w:rPr>
            </w:pPr>
            <w:r>
              <w:rPr>
                <w:rFonts w:ascii="Arial" w:hAnsi="Arial" w:eastAsia="Times New Roman" w:cs="Arial"/>
                <w:sz w:val="16"/>
                <w:szCs w:val="16"/>
              </w:rPr>
              <w:t>Rekapitulasi dan Rekonsiliasi Data APBD Kabupaten/Kota</w:t>
            </w:r>
          </w:p>
        </w:tc>
        <w:tc>
          <w:tcPr>
            <w:tcW w:w="1276" w:type="dxa"/>
          </w:tcPr>
          <w:p>
            <w:pPr>
              <w:rPr>
                <w:rFonts w:ascii="Arial" w:hAnsi="Arial" w:eastAsia="Times New Roman" w:cs="Arial"/>
                <w:bCs/>
                <w:sz w:val="16"/>
                <w:szCs w:val="16"/>
              </w:rPr>
            </w:pPr>
            <w:r>
              <w:rPr>
                <w:rFonts w:ascii="Arial" w:hAnsi="Arial" w:cs="Arial"/>
                <w:sz w:val="16"/>
                <w:szCs w:val="16"/>
                <w:lang w:val="en-GB"/>
              </w:rPr>
              <w:t>Peraturan Pemerintah Nomor 33 Tahun 2018 tentang Pelaksanaan Tugas dan Wewenang Gubernur Sebagai Wakil Pemerintah Pusat</w:t>
            </w:r>
          </w:p>
        </w:tc>
        <w:tc>
          <w:tcPr>
            <w:tcW w:w="1181" w:type="dxa"/>
          </w:tcPr>
          <w:p>
            <w:pPr>
              <w:rPr>
                <w:rFonts w:ascii="Arial" w:hAnsi="Arial" w:eastAsia="Times New Roman" w:cs="Arial"/>
                <w:sz w:val="16"/>
                <w:szCs w:val="16"/>
              </w:rPr>
            </w:pPr>
            <w:r>
              <w:rPr>
                <w:rFonts w:ascii="Arial" w:hAnsi="Arial" w:eastAsia="Times New Roman" w:cs="Arial"/>
                <w:sz w:val="16"/>
                <w:szCs w:val="16"/>
              </w:rPr>
              <w:t xml:space="preserve">Tersedianya dokumen APBD Kabupaten/Kota </w:t>
            </w:r>
            <w:r>
              <w:rPr>
                <w:rFonts w:ascii="Arial" w:hAnsi="Arial" w:cs="Arial"/>
                <w:sz w:val="16"/>
                <w:szCs w:val="16"/>
              </w:rPr>
              <w:t>berupa 7 dokumen</w:t>
            </w:r>
          </w:p>
        </w:tc>
        <w:tc>
          <w:tcPr>
            <w:tcW w:w="1293" w:type="dxa"/>
          </w:tcPr>
          <w:p>
            <w:pPr>
              <w:rPr>
                <w:rFonts w:ascii="Arial" w:hAnsi="Arial" w:cs="Arial"/>
                <w:bCs/>
                <w:sz w:val="15"/>
                <w:szCs w:val="15"/>
              </w:rPr>
            </w:pPr>
            <w:r>
              <w:rPr>
                <w:rFonts w:ascii="Arial" w:hAnsi="Arial" w:eastAsia="Times New Roman" w:cs="Arial"/>
                <w:sz w:val="16"/>
                <w:szCs w:val="16"/>
              </w:rPr>
              <w:t xml:space="preserve">Tersedianya dokumen APBD Kabupaten/Kota </w:t>
            </w:r>
            <w:r>
              <w:rPr>
                <w:rFonts w:ascii="Arial" w:hAnsi="Arial" w:cs="Arial"/>
                <w:sz w:val="16"/>
                <w:szCs w:val="16"/>
              </w:rPr>
              <w:t>berupa 7 dokumen</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9.047.400,00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6.911.722,00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76,39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shd w:val="clear" w:color="auto" w:fill="EBF1DE" w:themeFill="accent3" w:themeFillTint="32"/>
          </w:tcPr>
          <w:p>
            <w:pPr>
              <w:pStyle w:val="30"/>
              <w:spacing w:before="60" w:after="60" w:line="240" w:lineRule="auto"/>
              <w:ind w:left="150" w:right="-105"/>
              <w:contextualSpacing w:val="0"/>
              <w:jc w:val="both"/>
              <w:rPr>
                <w:rFonts w:ascii="Arial" w:hAnsi="Arial" w:eastAsia="Times New Roman" w:cs="Arial"/>
                <w:b/>
                <w:i/>
                <w:iCs/>
                <w:sz w:val="15"/>
                <w:szCs w:val="15"/>
              </w:rPr>
            </w:pPr>
            <w:r>
              <w:rPr>
                <w:rFonts w:ascii="Arial" w:hAnsi="Arial" w:cs="Arial"/>
                <w:b/>
                <w:i/>
                <w:iCs/>
                <w:sz w:val="15"/>
                <w:szCs w:val="15"/>
              </w:rPr>
              <w:t>VIII</w:t>
            </w:r>
          </w:p>
        </w:tc>
        <w:tc>
          <w:tcPr>
            <w:tcW w:w="1222" w:type="dxa"/>
            <w:shd w:val="clear" w:color="auto" w:fill="EBF1DE" w:themeFill="accent3" w:themeFillTint="32"/>
          </w:tcPr>
          <w:p>
            <w:pPr>
              <w:pStyle w:val="30"/>
              <w:spacing w:before="60" w:after="60" w:line="240" w:lineRule="auto"/>
              <w:ind w:left="0"/>
              <w:contextualSpacing w:val="0"/>
              <w:rPr>
                <w:rFonts w:ascii="Arial" w:hAnsi="Arial" w:eastAsia="Times New Roman" w:cs="Arial"/>
                <w:b/>
                <w:i/>
                <w:iCs/>
                <w:sz w:val="15"/>
                <w:szCs w:val="15"/>
              </w:rPr>
            </w:pPr>
            <w:r>
              <w:rPr>
                <w:rFonts w:ascii="Arial" w:hAnsi="Arial" w:cs="Arial"/>
                <w:b/>
                <w:i/>
                <w:iCs/>
                <w:sz w:val="15"/>
                <w:szCs w:val="15"/>
              </w:rPr>
              <w:t>Program Peningkatan Pendapatan Daerah</w:t>
            </w:r>
          </w:p>
        </w:tc>
        <w:tc>
          <w:tcPr>
            <w:tcW w:w="1276" w:type="dxa"/>
            <w:shd w:val="clear" w:color="auto" w:fill="EBF1DE" w:themeFill="accent3" w:themeFillTint="32"/>
          </w:tcPr>
          <w:p>
            <w:pPr>
              <w:rPr>
                <w:rFonts w:ascii="Arial" w:hAnsi="Arial" w:eastAsia="Times New Roman" w:cs="Arial"/>
                <w:b/>
                <w:i/>
                <w:iCs/>
                <w:sz w:val="15"/>
                <w:szCs w:val="15"/>
              </w:rPr>
            </w:pPr>
          </w:p>
        </w:tc>
        <w:tc>
          <w:tcPr>
            <w:tcW w:w="1181"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293"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028"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445"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387"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c>
          <w:tcPr>
            <w:tcW w:w="1294" w:type="dxa"/>
            <w:shd w:val="clear" w:color="auto" w:fill="EBF1DE" w:themeFill="accent3" w:themeFillTint="32"/>
          </w:tcPr>
          <w:p>
            <w:pPr>
              <w:pStyle w:val="30"/>
              <w:spacing w:before="60" w:after="60" w:line="240" w:lineRule="auto"/>
              <w:ind w:left="0"/>
              <w:contextualSpacing w:val="0"/>
              <w:jc w:val="both"/>
              <w:rPr>
                <w:rFonts w:ascii="Arial" w:hAnsi="Arial" w:cs="Arial"/>
                <w:b/>
                <w:i/>
                <w:iCs/>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1</w:t>
            </w:r>
          </w:p>
        </w:tc>
        <w:tc>
          <w:tcPr>
            <w:tcW w:w="1222"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Penyusunan Peraturan Gubernur tentang Penghitungan Dasar Pengenaan PKB dan BBNKB</w:t>
            </w:r>
          </w:p>
        </w:tc>
        <w:tc>
          <w:tcPr>
            <w:tcW w:w="1276" w:type="dxa"/>
          </w:tcPr>
          <w:p>
            <w:pPr>
              <w:pStyle w:val="30"/>
              <w:spacing w:before="60" w:after="60" w:line="240" w:lineRule="auto"/>
              <w:ind w:left="0"/>
              <w:jc w:val="both"/>
              <w:rPr>
                <w:rFonts w:ascii="Arial" w:hAnsi="Arial" w:eastAsia="Times New Roman" w:cs="Arial"/>
                <w:bCs/>
                <w:sz w:val="16"/>
                <w:szCs w:val="16"/>
              </w:rPr>
            </w:pPr>
            <w:r>
              <w:rPr>
                <w:rFonts w:ascii="Arial" w:hAnsi="Arial" w:cs="Arial"/>
                <w:bCs/>
                <w:sz w:val="16"/>
                <w:szCs w:val="16"/>
              </w:rPr>
              <w:t>Permendagri Nomor 8 Tahun 2020</w:t>
            </w:r>
          </w:p>
        </w:tc>
        <w:tc>
          <w:tcPr>
            <w:tcW w:w="1181"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 dokumen</w:t>
            </w:r>
          </w:p>
        </w:tc>
        <w:tc>
          <w:tcPr>
            <w:tcW w:w="1293"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 dokumen</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119.104.000,00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114.436.325,00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96,08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2</w:t>
            </w:r>
          </w:p>
        </w:tc>
        <w:tc>
          <w:tcPr>
            <w:tcW w:w="1222" w:type="dxa"/>
          </w:tcPr>
          <w:p>
            <w:pPr>
              <w:rPr>
                <w:rFonts w:ascii="Arial" w:hAnsi="Arial" w:eastAsia="Times New Roman" w:cs="Arial"/>
                <w:sz w:val="16"/>
                <w:szCs w:val="16"/>
              </w:rPr>
            </w:pPr>
            <w:r>
              <w:rPr>
                <w:rFonts w:ascii="Arial" w:hAnsi="Arial" w:eastAsia="Times New Roman" w:cs="Arial"/>
                <w:sz w:val="16"/>
                <w:szCs w:val="16"/>
              </w:rPr>
              <w:t>Sosialisasi Peraturan Perundang-undangan di Bidang Cukai dan Retribusi dan Penerimaan Lain-Lain</w:t>
            </w:r>
          </w:p>
        </w:tc>
        <w:tc>
          <w:tcPr>
            <w:tcW w:w="1276" w:type="dxa"/>
          </w:tcPr>
          <w:p>
            <w:pPr>
              <w:rPr>
                <w:rFonts w:ascii="Arial" w:hAnsi="Arial" w:eastAsia="Times New Roman" w:cs="Arial"/>
                <w:bCs/>
                <w:sz w:val="15"/>
                <w:szCs w:val="15"/>
              </w:rPr>
            </w:pPr>
          </w:p>
        </w:tc>
        <w:tc>
          <w:tcPr>
            <w:tcW w:w="1181"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 angkatan</w:t>
            </w:r>
          </w:p>
        </w:tc>
        <w:tc>
          <w:tcPr>
            <w:tcW w:w="1293"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 angkatan</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17.127.000,00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16.173.250,00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94,43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3</w:t>
            </w:r>
          </w:p>
        </w:tc>
        <w:tc>
          <w:tcPr>
            <w:tcW w:w="1222"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Peningkatan Pendapatan Dana Perimbangan</w:t>
            </w:r>
          </w:p>
        </w:tc>
        <w:tc>
          <w:tcPr>
            <w:tcW w:w="1276" w:type="dxa"/>
          </w:tcPr>
          <w:p>
            <w:pPr>
              <w:rPr>
                <w:rFonts w:ascii="Arial" w:hAnsi="Arial" w:eastAsia="Times New Roman" w:cs="Arial"/>
                <w:bCs/>
                <w:sz w:val="16"/>
                <w:szCs w:val="16"/>
              </w:rPr>
            </w:pPr>
          </w:p>
        </w:tc>
        <w:tc>
          <w:tcPr>
            <w:tcW w:w="1181" w:type="dxa"/>
          </w:tcPr>
          <w:p>
            <w:pPr>
              <w:rPr>
                <w:rFonts w:ascii="Arial" w:hAnsi="Arial" w:eastAsia="Times New Roman" w:cs="Arial"/>
                <w:sz w:val="16"/>
                <w:szCs w:val="16"/>
              </w:rPr>
            </w:pPr>
            <w:r>
              <w:rPr>
                <w:rFonts w:ascii="Arial" w:hAnsi="Arial" w:eastAsia="Times New Roman" w:cs="Arial"/>
                <w:sz w:val="16"/>
                <w:szCs w:val="16"/>
              </w:rPr>
              <w:t>Tersedianya laporan realisasi penerimaan dana perimbangan, laporan rekonsiliasi data DBH</w:t>
            </w:r>
            <w:r>
              <w:rPr>
                <w:rFonts w:ascii="Arial" w:hAnsi="Arial" w:cs="Arial"/>
                <w:sz w:val="16"/>
                <w:szCs w:val="16"/>
              </w:rPr>
              <w:t xml:space="preserve"> masing-masing berupa 2 dokumen, 5 Berita Acara, dan 2 rapat rekon</w:t>
            </w:r>
          </w:p>
        </w:tc>
        <w:tc>
          <w:tcPr>
            <w:tcW w:w="1293" w:type="dxa"/>
          </w:tcPr>
          <w:p>
            <w:pPr>
              <w:rPr>
                <w:rFonts w:ascii="Arial" w:hAnsi="Arial" w:cs="Arial"/>
                <w:bCs/>
                <w:sz w:val="16"/>
                <w:szCs w:val="16"/>
              </w:rPr>
            </w:pPr>
            <w:r>
              <w:rPr>
                <w:rFonts w:ascii="Arial" w:hAnsi="Arial" w:eastAsia="Times New Roman" w:cs="Arial"/>
                <w:sz w:val="16"/>
                <w:szCs w:val="16"/>
              </w:rPr>
              <w:t>Tersedianya laporan realisasi penerimaan dana perimbangan, laporan rekonsiliasi data DBH</w:t>
            </w:r>
            <w:r>
              <w:rPr>
                <w:rFonts w:ascii="Arial" w:hAnsi="Arial" w:cs="Arial"/>
                <w:sz w:val="16"/>
                <w:szCs w:val="16"/>
              </w:rPr>
              <w:t xml:space="preserve"> masing-masing berupa 2 dokumen, 5 Berita Acara, dan 2 rapat rekon</w:t>
            </w:r>
          </w:p>
        </w:tc>
        <w:tc>
          <w:tcPr>
            <w:tcW w:w="1028"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100</w:t>
            </w:r>
          </w:p>
        </w:tc>
        <w:tc>
          <w:tcPr>
            <w:tcW w:w="1445"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35.753.200,00</w:t>
            </w:r>
          </w:p>
        </w:tc>
        <w:tc>
          <w:tcPr>
            <w:tcW w:w="1387"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22.513.377,00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62,97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4</w:t>
            </w:r>
          </w:p>
        </w:tc>
        <w:tc>
          <w:tcPr>
            <w:tcW w:w="1222" w:type="dxa"/>
          </w:tcPr>
          <w:p>
            <w:pPr>
              <w:rPr>
                <w:rFonts w:ascii="Arial" w:hAnsi="Arial" w:eastAsia="Times New Roman" w:cs="Arial"/>
                <w:sz w:val="16"/>
                <w:szCs w:val="16"/>
              </w:rPr>
            </w:pPr>
            <w:r>
              <w:rPr>
                <w:rFonts w:ascii="Arial" w:hAnsi="Arial" w:eastAsia="Times New Roman" w:cs="Arial"/>
                <w:sz w:val="16"/>
                <w:szCs w:val="16"/>
              </w:rPr>
              <w:t>Penyusunan Ranperda Retribusi Daerah</w:t>
            </w:r>
          </w:p>
        </w:tc>
        <w:tc>
          <w:tcPr>
            <w:tcW w:w="1276" w:type="dxa"/>
          </w:tcPr>
          <w:p>
            <w:pPr>
              <w:rPr>
                <w:rFonts w:ascii="Arial" w:hAnsi="Arial" w:eastAsia="Times New Roman" w:cs="Arial"/>
                <w:bCs/>
                <w:sz w:val="16"/>
                <w:szCs w:val="16"/>
              </w:rPr>
            </w:pPr>
          </w:p>
        </w:tc>
        <w:tc>
          <w:tcPr>
            <w:tcW w:w="1181" w:type="dxa"/>
          </w:tcPr>
          <w:p>
            <w:pPr>
              <w:rPr>
                <w:rFonts w:ascii="Arial" w:hAnsi="Arial" w:eastAsia="Times New Roman" w:cs="Arial"/>
                <w:sz w:val="16"/>
                <w:szCs w:val="16"/>
              </w:rPr>
            </w:pPr>
            <w:r>
              <w:rPr>
                <w:rFonts w:ascii="Arial" w:hAnsi="Arial" w:eastAsia="Times New Roman" w:cs="Arial"/>
                <w:sz w:val="16"/>
                <w:szCs w:val="16"/>
              </w:rPr>
              <w:t>Terlaksananya penyusunan Ranperda Retribusi dan PLL,Naskah Akademis dan Peraturan Gubernur</w:t>
            </w:r>
            <w:r>
              <w:rPr>
                <w:rFonts w:ascii="Arial" w:hAnsi="Arial" w:cs="Arial"/>
                <w:sz w:val="16"/>
                <w:szCs w:val="16"/>
              </w:rPr>
              <w:t>berupa 2 Perda, 1 Naskah Akademis, dan 2 Pergub</w:t>
            </w:r>
          </w:p>
        </w:tc>
        <w:tc>
          <w:tcPr>
            <w:tcW w:w="1293" w:type="dxa"/>
          </w:tcPr>
          <w:p>
            <w:pPr>
              <w:rPr>
                <w:rFonts w:ascii="Arial" w:hAnsi="Arial" w:cs="Arial"/>
                <w:bCs/>
                <w:sz w:val="16"/>
                <w:szCs w:val="16"/>
              </w:rPr>
            </w:pPr>
            <w:r>
              <w:rPr>
                <w:rFonts w:ascii="Arial" w:hAnsi="Arial" w:eastAsia="Times New Roman" w:cs="Arial"/>
                <w:sz w:val="16"/>
                <w:szCs w:val="16"/>
              </w:rPr>
              <w:t>Terlaksananya penyusunan Ranperda Retribusi dan PLL,Naskah Akademis dan Peraturan Gubernur</w:t>
            </w:r>
            <w:r>
              <w:rPr>
                <w:rFonts w:ascii="Arial" w:hAnsi="Arial" w:cs="Arial"/>
                <w:sz w:val="16"/>
                <w:szCs w:val="16"/>
              </w:rPr>
              <w:t>berupa 2 Perda, 1 Naskah Akademis, dan 2 Pergub</w:t>
            </w:r>
          </w:p>
        </w:tc>
        <w:tc>
          <w:tcPr>
            <w:tcW w:w="1028"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100</w:t>
            </w:r>
          </w:p>
        </w:tc>
        <w:tc>
          <w:tcPr>
            <w:tcW w:w="1445" w:type="dxa"/>
          </w:tcPr>
          <w:p>
            <w:pPr>
              <w:pStyle w:val="30"/>
              <w:spacing w:before="60" w:after="60" w:line="240" w:lineRule="auto"/>
              <w:ind w:left="0"/>
              <w:contextualSpacing w:val="0"/>
              <w:jc w:val="both"/>
              <w:rPr>
                <w:rFonts w:ascii="Arial" w:hAnsi="Arial" w:cs="Arial"/>
                <w:bCs/>
                <w:sz w:val="16"/>
                <w:szCs w:val="16"/>
              </w:rPr>
            </w:pPr>
            <w:r>
              <w:rPr>
                <w:rFonts w:ascii="Arial" w:hAnsi="Arial" w:cs="Arial"/>
                <w:bCs/>
                <w:sz w:val="16"/>
                <w:szCs w:val="16"/>
              </w:rPr>
              <w:t>204.230.900,00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187.012.165,00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97,39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5</w:t>
            </w:r>
          </w:p>
        </w:tc>
        <w:tc>
          <w:tcPr>
            <w:tcW w:w="1222" w:type="dxa"/>
          </w:tcPr>
          <w:p>
            <w:pPr>
              <w:rPr>
                <w:rFonts w:ascii="Arial" w:hAnsi="Arial" w:eastAsia="Times New Roman" w:cs="Arial"/>
                <w:sz w:val="16"/>
                <w:szCs w:val="16"/>
              </w:rPr>
            </w:pPr>
            <w:r>
              <w:rPr>
                <w:rFonts w:ascii="Arial" w:hAnsi="Arial" w:eastAsia="Times New Roman" w:cs="Arial"/>
                <w:sz w:val="16"/>
                <w:szCs w:val="16"/>
              </w:rPr>
              <w:t>Peningkatan dan Penyusunan Rencana Penerimaan Retribusi Daerah dan Penerimaan Lain-Lain</w:t>
            </w:r>
          </w:p>
        </w:tc>
        <w:tc>
          <w:tcPr>
            <w:tcW w:w="1276" w:type="dxa"/>
          </w:tcPr>
          <w:p>
            <w:pPr>
              <w:rPr>
                <w:rFonts w:ascii="Arial" w:hAnsi="Arial" w:eastAsia="Times New Roman" w:cs="Arial"/>
                <w:bCs/>
                <w:sz w:val="16"/>
                <w:szCs w:val="16"/>
              </w:rPr>
            </w:pPr>
          </w:p>
        </w:tc>
        <w:tc>
          <w:tcPr>
            <w:tcW w:w="1181" w:type="dxa"/>
          </w:tcPr>
          <w:p>
            <w:pPr>
              <w:pStyle w:val="30"/>
              <w:spacing w:before="60" w:after="60" w:line="240" w:lineRule="auto"/>
              <w:ind w:left="0"/>
              <w:contextualSpacing w:val="0"/>
              <w:jc w:val="both"/>
              <w:rPr>
                <w:rFonts w:ascii="Arial" w:hAnsi="Arial" w:cs="Arial"/>
                <w:bCs/>
                <w:sz w:val="16"/>
                <w:szCs w:val="16"/>
              </w:rPr>
            </w:pPr>
            <w:r>
              <w:rPr>
                <w:rFonts w:ascii="Arial" w:hAnsi="Arial" w:eastAsia="Times New Roman" w:cs="Arial"/>
                <w:sz w:val="16"/>
                <w:szCs w:val="16"/>
              </w:rPr>
              <w:t>Tersedianyan laporan koordinasi,evaluasi rencana penerimaan</w:t>
            </w:r>
            <w:r>
              <w:rPr>
                <w:rFonts w:ascii="Arial" w:hAnsi="Arial" w:cs="Arial"/>
                <w:sz w:val="16"/>
                <w:szCs w:val="16"/>
              </w:rPr>
              <w:t xml:space="preserve"> tahun 2020 sebanyak 4 dokumen</w:t>
            </w:r>
          </w:p>
        </w:tc>
        <w:tc>
          <w:tcPr>
            <w:tcW w:w="1293" w:type="dxa"/>
          </w:tcPr>
          <w:p>
            <w:pPr>
              <w:pStyle w:val="30"/>
              <w:spacing w:before="60" w:after="60" w:line="240" w:lineRule="auto"/>
              <w:ind w:left="0"/>
              <w:contextualSpacing w:val="0"/>
              <w:jc w:val="both"/>
              <w:rPr>
                <w:rFonts w:ascii="Arial" w:hAnsi="Arial" w:cs="Arial"/>
                <w:bCs/>
                <w:sz w:val="15"/>
                <w:szCs w:val="15"/>
              </w:rPr>
            </w:pPr>
            <w:r>
              <w:rPr>
                <w:rFonts w:ascii="Arial" w:hAnsi="Arial" w:eastAsia="Times New Roman" w:cs="Arial"/>
                <w:sz w:val="16"/>
                <w:szCs w:val="16"/>
              </w:rPr>
              <w:t>Tersedianyan laporan koordinasi,evaluasi rencana penerimaan</w:t>
            </w:r>
            <w:r>
              <w:rPr>
                <w:rFonts w:ascii="Arial" w:hAnsi="Arial" w:cs="Arial"/>
                <w:sz w:val="16"/>
                <w:szCs w:val="16"/>
              </w:rPr>
              <w:t xml:space="preserve"> tahun 2020 sebanyak 4 dokumen</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58.683.300,00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56.522.900,00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96,32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6</w:t>
            </w:r>
          </w:p>
        </w:tc>
        <w:tc>
          <w:tcPr>
            <w:tcW w:w="1222"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Intensifikasi Peningkatan Pajak Daerah</w:t>
            </w:r>
          </w:p>
        </w:tc>
        <w:tc>
          <w:tcPr>
            <w:tcW w:w="1276" w:type="dxa"/>
          </w:tcPr>
          <w:p>
            <w:pPr>
              <w:pStyle w:val="30"/>
              <w:spacing w:before="60" w:after="60" w:line="240" w:lineRule="auto"/>
              <w:ind w:left="0"/>
              <w:jc w:val="both"/>
              <w:rPr>
                <w:rFonts w:ascii="Arial" w:hAnsi="Arial" w:eastAsia="Times New Roman" w:cs="Arial"/>
                <w:bCs/>
                <w:sz w:val="16"/>
                <w:szCs w:val="16"/>
              </w:rPr>
            </w:pPr>
            <w:r>
              <w:rPr>
                <w:rFonts w:ascii="Arial" w:hAnsi="Arial" w:cs="Arial"/>
                <w:bCs/>
                <w:sz w:val="16"/>
                <w:szCs w:val="16"/>
              </w:rPr>
              <w:t>Perda No 4 Tahun 2011 dan Perda Nomor 1 Tahun 2012</w:t>
            </w:r>
          </w:p>
        </w:tc>
        <w:tc>
          <w:tcPr>
            <w:tcW w:w="1181" w:type="dxa"/>
          </w:tcPr>
          <w:p>
            <w:pPr>
              <w:rPr>
                <w:rFonts w:ascii="Arial" w:hAnsi="Arial" w:eastAsia="Times New Roman" w:cs="Arial"/>
                <w:sz w:val="16"/>
                <w:szCs w:val="16"/>
              </w:rPr>
            </w:pPr>
            <w:r>
              <w:rPr>
                <w:rFonts w:ascii="Arial" w:hAnsi="Arial" w:eastAsia="Times New Roman" w:cs="Arial"/>
                <w:sz w:val="16"/>
                <w:szCs w:val="16"/>
              </w:rPr>
              <w:t xml:space="preserve">Terlaksananya intensifikasi peningkatan pajak daerah, berupa (PKB, BBNKB, PBBKB, Pajak Air Permukaan, dan Pajak Rokok) </w:t>
            </w:r>
            <w:r>
              <w:rPr>
                <w:rFonts w:ascii="Arial" w:hAnsi="Arial" w:cs="Arial"/>
                <w:sz w:val="16"/>
                <w:szCs w:val="16"/>
              </w:rPr>
              <w:t xml:space="preserve">sebesar </w:t>
            </w:r>
            <w:r>
              <w:rPr>
                <w:rFonts w:ascii="Arial" w:hAnsi="Arial" w:cs="Arial"/>
                <w:bCs/>
                <w:sz w:val="16"/>
                <w:szCs w:val="16"/>
              </w:rPr>
              <w:t>Rp. 1.729.790.540.000,-</w:t>
            </w:r>
          </w:p>
        </w:tc>
        <w:tc>
          <w:tcPr>
            <w:tcW w:w="1293" w:type="dxa"/>
          </w:tcPr>
          <w:p>
            <w:pPr>
              <w:rPr>
                <w:rFonts w:ascii="Arial" w:hAnsi="Arial" w:cs="Arial"/>
                <w:bCs/>
                <w:sz w:val="16"/>
                <w:szCs w:val="16"/>
              </w:rPr>
            </w:pPr>
            <w:r>
              <w:rPr>
                <w:rFonts w:ascii="Arial" w:hAnsi="Arial" w:eastAsia="Times New Roman" w:cs="Arial"/>
                <w:sz w:val="16"/>
                <w:szCs w:val="16"/>
              </w:rPr>
              <w:t xml:space="preserve">Terlaksananya intensifikasi peningkatan pajak daerah, berupa (PKB, BBNKB, PBBKB, Pajak Air Permukaan, dan Pajak Rokok) </w:t>
            </w:r>
            <w:r>
              <w:rPr>
                <w:rFonts w:ascii="Arial" w:hAnsi="Arial" w:cs="Arial"/>
                <w:sz w:val="16"/>
                <w:szCs w:val="16"/>
              </w:rPr>
              <w:t xml:space="preserve">sebesar Rp. </w:t>
            </w:r>
            <w:r>
              <w:rPr>
                <w:rFonts w:ascii="Arial" w:hAnsi="Arial" w:cs="Arial"/>
                <w:bCs/>
                <w:sz w:val="16"/>
                <w:szCs w:val="16"/>
              </w:rPr>
              <w:t>1.809.808.841.129,-</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6"/>
                <w:szCs w:val="16"/>
              </w:rPr>
              <w:t>104,63%</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5.157.078.245,00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4.605.577.771,00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89,31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shd w:val="clear" w:color="auto" w:fill="EBF1DE" w:themeFill="accent3" w:themeFillTint="32"/>
          </w:tcPr>
          <w:p>
            <w:pPr>
              <w:pStyle w:val="30"/>
              <w:spacing w:before="60" w:after="60" w:line="240" w:lineRule="auto"/>
              <w:ind w:left="150" w:right="-105"/>
              <w:contextualSpacing w:val="0"/>
              <w:jc w:val="both"/>
              <w:rPr>
                <w:rFonts w:ascii="Arial" w:hAnsi="Arial" w:eastAsia="Times New Roman" w:cs="Arial"/>
                <w:b/>
                <w:sz w:val="15"/>
                <w:szCs w:val="15"/>
              </w:rPr>
            </w:pPr>
            <w:r>
              <w:rPr>
                <w:rFonts w:ascii="Arial" w:hAnsi="Arial" w:cs="Arial"/>
                <w:b/>
                <w:sz w:val="15"/>
                <w:szCs w:val="15"/>
              </w:rPr>
              <w:t>IX</w:t>
            </w:r>
          </w:p>
        </w:tc>
        <w:tc>
          <w:tcPr>
            <w:tcW w:w="1222" w:type="dxa"/>
            <w:shd w:val="clear" w:color="auto" w:fill="EBF1DE" w:themeFill="accent3" w:themeFillTint="32"/>
          </w:tcPr>
          <w:p>
            <w:pPr>
              <w:pStyle w:val="30"/>
              <w:spacing w:before="60" w:after="60" w:line="240" w:lineRule="auto"/>
              <w:ind w:left="0"/>
              <w:contextualSpacing w:val="0"/>
              <w:rPr>
                <w:rFonts w:ascii="Arial" w:hAnsi="Arial" w:eastAsia="Times New Roman" w:cs="Arial"/>
                <w:b/>
                <w:sz w:val="15"/>
                <w:szCs w:val="15"/>
              </w:rPr>
            </w:pPr>
            <w:r>
              <w:rPr>
                <w:rFonts w:ascii="Arial" w:hAnsi="Arial" w:cs="Arial"/>
                <w:b/>
                <w:sz w:val="15"/>
                <w:szCs w:val="15"/>
              </w:rPr>
              <w:t>Program Peningkatan Pelayanan Publik</w:t>
            </w:r>
          </w:p>
        </w:tc>
        <w:tc>
          <w:tcPr>
            <w:tcW w:w="1276" w:type="dxa"/>
            <w:shd w:val="clear" w:color="auto" w:fill="EBF1DE" w:themeFill="accent3" w:themeFillTint="32"/>
          </w:tcPr>
          <w:p>
            <w:pPr>
              <w:rPr>
                <w:rFonts w:ascii="Arial" w:hAnsi="Arial" w:eastAsia="Times New Roman" w:cs="Arial"/>
                <w:b/>
                <w:sz w:val="15"/>
                <w:szCs w:val="15"/>
              </w:rPr>
            </w:pPr>
          </w:p>
        </w:tc>
        <w:tc>
          <w:tcPr>
            <w:tcW w:w="1181" w:type="dxa"/>
            <w:shd w:val="clear" w:color="auto" w:fill="EBF1DE" w:themeFill="accent3" w:themeFillTint="32"/>
          </w:tcPr>
          <w:p>
            <w:pPr>
              <w:pStyle w:val="30"/>
              <w:spacing w:before="60" w:after="60" w:line="240" w:lineRule="auto"/>
              <w:ind w:left="0"/>
              <w:contextualSpacing w:val="0"/>
              <w:jc w:val="both"/>
              <w:rPr>
                <w:rFonts w:ascii="Arial" w:hAnsi="Arial" w:cs="Arial"/>
                <w:b/>
                <w:sz w:val="15"/>
                <w:szCs w:val="15"/>
              </w:rPr>
            </w:pPr>
          </w:p>
        </w:tc>
        <w:tc>
          <w:tcPr>
            <w:tcW w:w="1293" w:type="dxa"/>
            <w:shd w:val="clear" w:color="auto" w:fill="EBF1DE" w:themeFill="accent3" w:themeFillTint="32"/>
          </w:tcPr>
          <w:p>
            <w:pPr>
              <w:pStyle w:val="30"/>
              <w:spacing w:before="60" w:after="60" w:line="240" w:lineRule="auto"/>
              <w:ind w:left="0"/>
              <w:contextualSpacing w:val="0"/>
              <w:jc w:val="both"/>
              <w:rPr>
                <w:rFonts w:ascii="Arial" w:hAnsi="Arial" w:cs="Arial"/>
                <w:b/>
                <w:sz w:val="15"/>
                <w:szCs w:val="15"/>
              </w:rPr>
            </w:pPr>
          </w:p>
        </w:tc>
        <w:tc>
          <w:tcPr>
            <w:tcW w:w="1028" w:type="dxa"/>
            <w:shd w:val="clear" w:color="auto" w:fill="EBF1DE" w:themeFill="accent3" w:themeFillTint="32"/>
          </w:tcPr>
          <w:p>
            <w:pPr>
              <w:pStyle w:val="30"/>
              <w:spacing w:before="60" w:after="60" w:line="240" w:lineRule="auto"/>
              <w:ind w:left="0"/>
              <w:contextualSpacing w:val="0"/>
              <w:jc w:val="both"/>
              <w:rPr>
                <w:rFonts w:ascii="Arial" w:hAnsi="Arial" w:cs="Arial"/>
                <w:b/>
                <w:sz w:val="15"/>
                <w:szCs w:val="15"/>
              </w:rPr>
            </w:pPr>
          </w:p>
        </w:tc>
        <w:tc>
          <w:tcPr>
            <w:tcW w:w="1445" w:type="dxa"/>
            <w:shd w:val="clear" w:color="auto" w:fill="EBF1DE" w:themeFill="accent3" w:themeFillTint="32"/>
          </w:tcPr>
          <w:p>
            <w:pPr>
              <w:pStyle w:val="30"/>
              <w:spacing w:before="60" w:after="60" w:line="240" w:lineRule="auto"/>
              <w:ind w:left="0"/>
              <w:contextualSpacing w:val="0"/>
              <w:jc w:val="both"/>
              <w:rPr>
                <w:rFonts w:ascii="Arial" w:hAnsi="Arial" w:cs="Arial"/>
                <w:b/>
                <w:sz w:val="15"/>
                <w:szCs w:val="15"/>
              </w:rPr>
            </w:pPr>
          </w:p>
        </w:tc>
        <w:tc>
          <w:tcPr>
            <w:tcW w:w="1387" w:type="dxa"/>
            <w:shd w:val="clear" w:color="auto" w:fill="EBF1DE" w:themeFill="accent3" w:themeFillTint="32"/>
          </w:tcPr>
          <w:p>
            <w:pPr>
              <w:pStyle w:val="30"/>
              <w:spacing w:before="60" w:after="60" w:line="240" w:lineRule="auto"/>
              <w:ind w:left="0"/>
              <w:contextualSpacing w:val="0"/>
              <w:jc w:val="both"/>
              <w:rPr>
                <w:rFonts w:ascii="Arial" w:hAnsi="Arial" w:cs="Arial"/>
                <w:b/>
                <w:sz w:val="15"/>
                <w:szCs w:val="15"/>
              </w:rPr>
            </w:pPr>
          </w:p>
        </w:tc>
        <w:tc>
          <w:tcPr>
            <w:tcW w:w="1294" w:type="dxa"/>
            <w:shd w:val="clear" w:color="auto" w:fill="EBF1DE" w:themeFill="accent3" w:themeFillTint="32"/>
          </w:tcPr>
          <w:p>
            <w:pPr>
              <w:pStyle w:val="30"/>
              <w:spacing w:before="60" w:after="60" w:line="240" w:lineRule="auto"/>
              <w:ind w:left="0"/>
              <w:contextualSpacing w:val="0"/>
              <w:jc w:val="both"/>
              <w:rPr>
                <w:rFonts w:ascii="Arial" w:hAnsi="Arial" w:cs="Arial"/>
                <w:b/>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1</w:t>
            </w:r>
          </w:p>
        </w:tc>
        <w:tc>
          <w:tcPr>
            <w:tcW w:w="1222" w:type="dxa"/>
          </w:tcPr>
          <w:p>
            <w:pPr>
              <w:pStyle w:val="30"/>
              <w:spacing w:before="60" w:after="60" w:line="240" w:lineRule="auto"/>
              <w:ind w:left="0"/>
              <w:contextualSpacing w:val="0"/>
              <w:rPr>
                <w:rFonts w:ascii="Arial" w:hAnsi="Arial" w:cs="Arial"/>
                <w:bCs/>
                <w:sz w:val="16"/>
                <w:szCs w:val="16"/>
              </w:rPr>
            </w:pPr>
            <w:r>
              <w:rPr>
                <w:rFonts w:ascii="Arial" w:hAnsi="Arial" w:eastAsia="Times New Roman" w:cs="Arial"/>
                <w:sz w:val="16"/>
                <w:szCs w:val="16"/>
              </w:rPr>
              <w:t>Penilaian Pelayanan Publik</w:t>
            </w:r>
          </w:p>
        </w:tc>
        <w:tc>
          <w:tcPr>
            <w:tcW w:w="1276" w:type="dxa"/>
          </w:tcPr>
          <w:p>
            <w:pPr>
              <w:rPr>
                <w:rFonts w:ascii="Arial" w:hAnsi="Arial" w:eastAsia="Times New Roman" w:cs="Arial"/>
                <w:bCs/>
                <w:sz w:val="16"/>
                <w:szCs w:val="16"/>
              </w:rPr>
            </w:pPr>
          </w:p>
        </w:tc>
        <w:tc>
          <w:tcPr>
            <w:tcW w:w="1181" w:type="dxa"/>
          </w:tcPr>
          <w:p>
            <w:pPr>
              <w:pStyle w:val="30"/>
              <w:spacing w:before="60" w:after="60" w:line="240" w:lineRule="auto"/>
              <w:ind w:left="0"/>
              <w:contextualSpacing w:val="0"/>
              <w:jc w:val="both"/>
              <w:rPr>
                <w:rFonts w:ascii="Arial" w:hAnsi="Arial" w:cs="Arial"/>
                <w:bCs/>
                <w:sz w:val="16"/>
                <w:szCs w:val="16"/>
              </w:rPr>
            </w:pPr>
            <w:r>
              <w:rPr>
                <w:rFonts w:ascii="Arial" w:hAnsi="Arial" w:eastAsia="Times New Roman" w:cs="Arial"/>
                <w:sz w:val="16"/>
                <w:szCs w:val="16"/>
              </w:rPr>
              <w:t>Tidak terlaksana karena termasuk kegiatan yang terdampak rasionalisasi penanganan Covid-19</w:t>
            </w:r>
          </w:p>
        </w:tc>
        <w:tc>
          <w:tcPr>
            <w:tcW w:w="1293" w:type="dxa"/>
          </w:tcPr>
          <w:p>
            <w:pPr>
              <w:pStyle w:val="30"/>
              <w:spacing w:before="60" w:after="60" w:line="240" w:lineRule="auto"/>
              <w:ind w:left="0"/>
              <w:contextualSpacing w:val="0"/>
              <w:jc w:val="both"/>
              <w:rPr>
                <w:rFonts w:ascii="Arial" w:hAnsi="Arial" w:cs="Arial"/>
                <w:bCs/>
                <w:sz w:val="16"/>
                <w:szCs w:val="16"/>
              </w:rPr>
            </w:pPr>
            <w:r>
              <w:rPr>
                <w:rFonts w:ascii="Arial" w:hAnsi="Arial" w:eastAsia="Times New Roman" w:cs="Arial"/>
                <w:sz w:val="16"/>
                <w:szCs w:val="16"/>
              </w:rPr>
              <w:t>Tidak terlaksana karena termasuk kegiatan yang terdampak rasionalisasi penanganan Covid-19</w:t>
            </w:r>
          </w:p>
        </w:tc>
        <w:tc>
          <w:tcPr>
            <w:tcW w:w="1028" w:type="dxa"/>
          </w:tcPr>
          <w:p>
            <w:pPr>
              <w:pStyle w:val="30"/>
              <w:spacing w:before="60" w:after="60" w:line="240" w:lineRule="auto"/>
              <w:ind w:left="0"/>
              <w:contextualSpacing w:val="0"/>
              <w:jc w:val="both"/>
              <w:rPr>
                <w:rFonts w:ascii="Arial" w:hAnsi="Arial" w:cs="Arial"/>
                <w:bCs/>
                <w:sz w:val="15"/>
                <w:szCs w:val="15"/>
              </w:rPr>
            </w:pPr>
          </w:p>
        </w:tc>
        <w:tc>
          <w:tcPr>
            <w:tcW w:w="1445" w:type="dxa"/>
          </w:tcPr>
          <w:p>
            <w:pPr>
              <w:pStyle w:val="30"/>
              <w:spacing w:before="60" w:after="60" w:line="240" w:lineRule="auto"/>
              <w:ind w:left="0"/>
              <w:contextualSpacing w:val="0"/>
              <w:jc w:val="both"/>
              <w:rPr>
                <w:rFonts w:ascii="Arial" w:hAnsi="Arial" w:cs="Arial"/>
                <w:bCs/>
                <w:sz w:val="15"/>
                <w:szCs w:val="15"/>
              </w:rPr>
            </w:pPr>
          </w:p>
        </w:tc>
        <w:tc>
          <w:tcPr>
            <w:tcW w:w="1387" w:type="dxa"/>
          </w:tcPr>
          <w:p>
            <w:pPr>
              <w:pStyle w:val="30"/>
              <w:spacing w:before="60" w:after="60" w:line="240" w:lineRule="auto"/>
              <w:ind w:left="0"/>
              <w:contextualSpacing w:val="0"/>
              <w:jc w:val="both"/>
              <w:rPr>
                <w:rFonts w:ascii="Arial" w:hAnsi="Arial" w:cs="Arial"/>
                <w:bCs/>
                <w:sz w:val="15"/>
                <w:szCs w:val="15"/>
              </w:rPr>
            </w:pPr>
          </w:p>
        </w:tc>
        <w:tc>
          <w:tcPr>
            <w:tcW w:w="1294" w:type="dxa"/>
          </w:tcPr>
          <w:p>
            <w:pPr>
              <w:pStyle w:val="30"/>
              <w:spacing w:before="60" w:after="60" w:line="240" w:lineRule="auto"/>
              <w:ind w:left="0"/>
              <w:contextualSpacing w:val="0"/>
              <w:jc w:val="both"/>
              <w:rPr>
                <w:rFonts w:ascii="Arial" w:hAnsi="Arial" w:cs="Arial"/>
                <w:bCs/>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7" w:type="dxa"/>
          </w:tcPr>
          <w:p>
            <w:pPr>
              <w:pStyle w:val="30"/>
              <w:spacing w:before="60" w:after="60" w:line="240" w:lineRule="auto"/>
              <w:ind w:left="150" w:right="-105"/>
              <w:contextualSpacing w:val="0"/>
              <w:jc w:val="both"/>
              <w:rPr>
                <w:rFonts w:ascii="Arial" w:hAnsi="Arial" w:cs="Arial"/>
                <w:bCs/>
                <w:sz w:val="15"/>
                <w:szCs w:val="15"/>
              </w:rPr>
            </w:pPr>
            <w:r>
              <w:rPr>
                <w:rFonts w:ascii="Arial" w:hAnsi="Arial" w:cs="Arial"/>
                <w:bCs/>
                <w:sz w:val="15"/>
                <w:szCs w:val="15"/>
              </w:rPr>
              <w:t>2</w:t>
            </w:r>
          </w:p>
        </w:tc>
        <w:tc>
          <w:tcPr>
            <w:tcW w:w="1222" w:type="dxa"/>
          </w:tcPr>
          <w:p>
            <w:pPr>
              <w:rPr>
                <w:rFonts w:ascii="Arial" w:hAnsi="Arial" w:eastAsia="Times New Roman" w:cs="Arial"/>
                <w:sz w:val="16"/>
                <w:szCs w:val="16"/>
              </w:rPr>
            </w:pPr>
            <w:r>
              <w:rPr>
                <w:rFonts w:ascii="Arial" w:hAnsi="Arial" w:eastAsia="Times New Roman" w:cs="Arial"/>
                <w:sz w:val="16"/>
                <w:szCs w:val="16"/>
              </w:rPr>
              <w:t>Pengembangan Sistem Informasi Manajemen Samsat Link</w:t>
            </w:r>
          </w:p>
        </w:tc>
        <w:tc>
          <w:tcPr>
            <w:tcW w:w="1276" w:type="dxa"/>
          </w:tcPr>
          <w:p>
            <w:pPr>
              <w:pStyle w:val="30"/>
              <w:spacing w:before="60" w:after="60" w:line="240" w:lineRule="auto"/>
              <w:ind w:left="0"/>
              <w:rPr>
                <w:rFonts w:ascii="Arial" w:hAnsi="Arial" w:cs="Arial"/>
                <w:bCs/>
                <w:sz w:val="16"/>
                <w:szCs w:val="16"/>
              </w:rPr>
            </w:pPr>
            <w:r>
              <w:rPr>
                <w:rFonts w:ascii="Arial" w:hAnsi="Arial" w:cs="Arial"/>
                <w:bCs/>
                <w:sz w:val="16"/>
                <w:szCs w:val="16"/>
              </w:rPr>
              <w:t>1. Perpres Nomor 5 Tahun 2015 tentang Penyelenggaraan Sistem Administrasi Manunggal Satu Atap Kendaraan Bermotor</w:t>
            </w:r>
          </w:p>
          <w:p>
            <w:pPr>
              <w:pStyle w:val="30"/>
              <w:spacing w:before="60" w:after="60" w:line="240" w:lineRule="auto"/>
              <w:ind w:left="0"/>
              <w:rPr>
                <w:rFonts w:ascii="Arial" w:hAnsi="Arial" w:cs="Arial"/>
                <w:bCs/>
                <w:sz w:val="16"/>
                <w:szCs w:val="16"/>
              </w:rPr>
            </w:pPr>
            <w:r>
              <w:rPr>
                <w:rFonts w:ascii="Arial" w:hAnsi="Arial" w:cs="Arial"/>
                <w:bCs/>
                <w:sz w:val="16"/>
                <w:szCs w:val="16"/>
              </w:rPr>
              <w:t>2.Perpres Nomor 95 Tahun 2018 tentang Sistem Pemerintahan berbasis Elektronik</w:t>
            </w:r>
          </w:p>
          <w:p>
            <w:pPr>
              <w:spacing w:line="240" w:lineRule="auto"/>
              <w:rPr>
                <w:rFonts w:ascii="Arial" w:hAnsi="Arial" w:eastAsia="Times New Roman" w:cs="Arial"/>
                <w:bCs/>
                <w:sz w:val="16"/>
                <w:szCs w:val="16"/>
              </w:rPr>
            </w:pPr>
            <w:r>
              <w:rPr>
                <w:rFonts w:ascii="Arial" w:hAnsi="Arial" w:cs="Arial"/>
                <w:bCs/>
                <w:sz w:val="16"/>
                <w:szCs w:val="16"/>
              </w:rPr>
              <w:t>2.</w:t>
            </w:r>
            <w:r>
              <w:rPr>
                <w:rFonts w:ascii="Arial" w:hAnsi="Arial" w:cs="Arial"/>
                <w:bCs/>
                <w:sz w:val="16"/>
                <w:szCs w:val="16"/>
                <w:lang w:val="id-ID"/>
              </w:rPr>
              <w:t>Pergu</w:t>
            </w:r>
            <w:r>
              <w:rPr>
                <w:rFonts w:ascii="Arial" w:hAnsi="Arial" w:cs="Arial"/>
                <w:bCs/>
                <w:sz w:val="16"/>
                <w:szCs w:val="16"/>
              </w:rPr>
              <w:t>b</w:t>
            </w:r>
            <w:r>
              <w:rPr>
                <w:rFonts w:ascii="Arial" w:hAnsi="Arial" w:cs="Arial"/>
                <w:bCs/>
                <w:sz w:val="16"/>
                <w:szCs w:val="16"/>
                <w:lang w:val="id-ID"/>
              </w:rPr>
              <w:t xml:space="preserve"> Nomor</w:t>
            </w:r>
            <w:r>
              <w:rPr>
                <w:rFonts w:ascii="Arial" w:hAnsi="Arial" w:cs="Arial"/>
                <w:bCs/>
                <w:sz w:val="16"/>
                <w:szCs w:val="16"/>
              </w:rPr>
              <w:t xml:space="preserve"> 32/Tahun 2019 </w:t>
            </w:r>
            <w:r>
              <w:rPr>
                <w:rFonts w:ascii="Arial" w:hAnsi="Arial" w:cs="Arial"/>
                <w:bCs/>
                <w:sz w:val="16"/>
                <w:szCs w:val="16"/>
                <w:lang w:val="id-ID"/>
              </w:rPr>
              <w:t xml:space="preserve">tentang </w:t>
            </w:r>
            <w:r>
              <w:rPr>
                <w:rFonts w:ascii="Arial" w:hAnsi="Arial" w:cs="Arial"/>
                <w:bCs/>
                <w:sz w:val="16"/>
                <w:szCs w:val="16"/>
              </w:rPr>
              <w:t xml:space="preserve">Tata Cara </w:t>
            </w:r>
            <w:r>
              <w:rPr>
                <w:rFonts w:ascii="Arial" w:hAnsi="Arial" w:cs="Arial"/>
                <w:bCs/>
                <w:sz w:val="16"/>
                <w:szCs w:val="16"/>
                <w:lang w:val="id-ID"/>
              </w:rPr>
              <w:t xml:space="preserve">Penyelenggaran Sistem Manunggal Satu Atap </w:t>
            </w:r>
            <w:r>
              <w:rPr>
                <w:rFonts w:ascii="Arial" w:hAnsi="Arial" w:cs="Arial"/>
                <w:bCs/>
                <w:sz w:val="16"/>
                <w:szCs w:val="16"/>
              </w:rPr>
              <w:t xml:space="preserve">Berbasis </w:t>
            </w:r>
            <w:r>
              <w:rPr>
                <w:rFonts w:ascii="Arial" w:hAnsi="Arial" w:cs="Arial"/>
                <w:bCs/>
                <w:sz w:val="16"/>
                <w:szCs w:val="16"/>
                <w:lang w:val="id-ID"/>
              </w:rPr>
              <w:t>Elektronik</w:t>
            </w:r>
          </w:p>
        </w:tc>
        <w:tc>
          <w:tcPr>
            <w:tcW w:w="1181" w:type="dxa"/>
          </w:tcPr>
          <w:p>
            <w:pPr>
              <w:rPr>
                <w:rFonts w:ascii="Arial" w:hAnsi="Arial" w:eastAsia="Times New Roman" w:cs="Arial"/>
                <w:sz w:val="16"/>
                <w:szCs w:val="16"/>
              </w:rPr>
            </w:pPr>
            <w:r>
              <w:rPr>
                <w:rFonts w:ascii="Arial" w:hAnsi="Arial" w:eastAsia="Times New Roman" w:cs="Arial"/>
                <w:sz w:val="16"/>
                <w:szCs w:val="16"/>
              </w:rPr>
              <w:t>Aplikasi Samsat Link berjalandengan baik</w:t>
            </w:r>
            <w:r>
              <w:rPr>
                <w:rFonts w:ascii="Arial" w:hAnsi="Arial" w:cs="Arial"/>
                <w:sz w:val="16"/>
                <w:szCs w:val="16"/>
              </w:rPr>
              <w:t xml:space="preserve"> selama 1 tahun</w:t>
            </w:r>
          </w:p>
        </w:tc>
        <w:tc>
          <w:tcPr>
            <w:tcW w:w="1293" w:type="dxa"/>
          </w:tcPr>
          <w:p>
            <w:pPr>
              <w:rPr>
                <w:rFonts w:ascii="Arial" w:hAnsi="Arial" w:cs="Arial"/>
                <w:bCs/>
                <w:sz w:val="16"/>
                <w:szCs w:val="16"/>
              </w:rPr>
            </w:pPr>
            <w:r>
              <w:rPr>
                <w:rFonts w:ascii="Arial" w:hAnsi="Arial" w:eastAsia="Times New Roman" w:cs="Arial"/>
                <w:sz w:val="16"/>
                <w:szCs w:val="16"/>
              </w:rPr>
              <w:t>Aplikasi Samsat Link berjalandengan baik</w:t>
            </w:r>
            <w:r>
              <w:rPr>
                <w:rFonts w:ascii="Arial" w:hAnsi="Arial" w:cs="Arial"/>
                <w:sz w:val="16"/>
                <w:szCs w:val="16"/>
              </w:rPr>
              <w:t xml:space="preserve"> selama 1 tahun</w:t>
            </w:r>
          </w:p>
        </w:tc>
        <w:tc>
          <w:tcPr>
            <w:tcW w:w="1028"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100</w:t>
            </w:r>
          </w:p>
        </w:tc>
        <w:tc>
          <w:tcPr>
            <w:tcW w:w="1445"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1.240.180.600,00</w:t>
            </w:r>
          </w:p>
        </w:tc>
        <w:tc>
          <w:tcPr>
            <w:tcW w:w="1387"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1.139.770.717,00</w:t>
            </w:r>
          </w:p>
        </w:tc>
        <w:tc>
          <w:tcPr>
            <w:tcW w:w="1294" w:type="dxa"/>
          </w:tcPr>
          <w:p>
            <w:pPr>
              <w:pStyle w:val="30"/>
              <w:spacing w:before="60" w:after="60" w:line="240" w:lineRule="auto"/>
              <w:ind w:left="0"/>
              <w:contextualSpacing w:val="0"/>
              <w:jc w:val="both"/>
              <w:rPr>
                <w:rFonts w:ascii="Arial" w:hAnsi="Arial" w:cs="Arial"/>
                <w:bCs/>
                <w:sz w:val="15"/>
                <w:szCs w:val="15"/>
              </w:rPr>
            </w:pPr>
            <w:r>
              <w:rPr>
                <w:rFonts w:ascii="Arial" w:hAnsi="Arial" w:cs="Arial"/>
                <w:bCs/>
                <w:sz w:val="15"/>
                <w:szCs w:val="15"/>
              </w:rPr>
              <w:t>91,90</w:t>
            </w:r>
          </w:p>
        </w:tc>
      </w:tr>
    </w:tbl>
    <w:p>
      <w:pPr>
        <w:pStyle w:val="10"/>
        <w:spacing w:before="120" w:after="120"/>
        <w:ind w:left="660" w:leftChars="300" w:firstLine="0" w:firstLineChars="0"/>
        <w:rPr>
          <w:rFonts w:ascii="Tahoma" w:hAnsi="Tahoma" w:cs="Tahoma"/>
          <w:b/>
          <w:sz w:val="22"/>
          <w:szCs w:val="22"/>
          <w:lang w:val="id-ID"/>
        </w:rPr>
      </w:pPr>
      <w:r>
        <w:rPr>
          <w:rFonts w:ascii="Tahoma" w:hAnsi="Tahoma" w:cs="Tahoma"/>
          <w:b/>
          <w:sz w:val="22"/>
          <w:szCs w:val="22"/>
          <w:lang w:val="id-ID"/>
        </w:rPr>
        <w:t>INSTRUMEN PENDUKUNG</w:t>
      </w:r>
    </w:p>
    <w:p>
      <w:pPr>
        <w:pStyle w:val="10"/>
        <w:spacing w:before="120" w:after="120"/>
        <w:ind w:left="660" w:leftChars="300" w:firstLine="0" w:firstLineChars="0"/>
        <w:rPr>
          <w:rFonts w:ascii="Tahoma" w:hAnsi="Tahoma" w:cs="Tahoma"/>
          <w:sz w:val="22"/>
          <w:szCs w:val="22"/>
          <w:lang w:val="id-ID"/>
        </w:rPr>
      </w:pPr>
      <w:r>
        <w:rPr>
          <w:rFonts w:ascii="Tahoma" w:hAnsi="Tahoma" w:cs="Tahoma"/>
          <w:sz w:val="22"/>
          <w:szCs w:val="22"/>
          <w:lang w:val="id-ID"/>
        </w:rPr>
        <w:t xml:space="preserve">Instrumen pendukung pengelola data keuangan dan </w:t>
      </w:r>
      <w:r>
        <w:rPr>
          <w:rFonts w:ascii="Tahoma" w:hAnsi="Tahoma" w:cs="Tahoma"/>
          <w:sz w:val="22"/>
          <w:szCs w:val="22"/>
        </w:rPr>
        <w:t>Samsat</w:t>
      </w:r>
      <w:r>
        <w:rPr>
          <w:rFonts w:ascii="Tahoma" w:hAnsi="Tahoma" w:cs="Tahoma"/>
          <w:sz w:val="22"/>
          <w:szCs w:val="22"/>
          <w:lang w:val="id-ID"/>
        </w:rPr>
        <w:t xml:space="preserve"> pada B</w:t>
      </w:r>
      <w:r>
        <w:rPr>
          <w:rFonts w:ascii="Tahoma" w:hAnsi="Tahoma" w:cs="Tahoma"/>
          <w:sz w:val="22"/>
          <w:szCs w:val="22"/>
        </w:rPr>
        <w:t xml:space="preserve">adan Keuangan Daerah </w:t>
      </w:r>
      <w:r>
        <w:rPr>
          <w:rFonts w:ascii="Tahoma" w:hAnsi="Tahoma" w:cs="Tahoma"/>
          <w:sz w:val="22"/>
          <w:szCs w:val="22"/>
          <w:lang w:val="id-ID"/>
        </w:rPr>
        <w:t>sebagai berikut :</w:t>
      </w:r>
    </w:p>
    <w:p>
      <w:pPr>
        <w:pStyle w:val="10"/>
        <w:numPr>
          <w:ilvl w:val="1"/>
          <w:numId w:val="47"/>
        </w:numPr>
        <w:ind w:left="1531" w:leftChars="499" w:hanging="433"/>
        <w:rPr>
          <w:rFonts w:ascii="Tahoma" w:hAnsi="Tahoma" w:cs="Tahoma"/>
          <w:sz w:val="22"/>
          <w:szCs w:val="22"/>
        </w:rPr>
      </w:pPr>
      <w:r>
        <w:rPr>
          <w:rFonts w:ascii="Tahoma" w:hAnsi="Tahoma" w:cs="Tahoma"/>
          <w:i/>
          <w:iCs/>
          <w:sz w:val="22"/>
          <w:szCs w:val="22"/>
          <w:lang w:val="id-ID"/>
        </w:rPr>
        <w:t>Web</w:t>
      </w:r>
      <w:r>
        <w:rPr>
          <w:rFonts w:ascii="Tahoma" w:hAnsi="Tahoma" w:cs="Tahoma"/>
          <w:i/>
          <w:iCs/>
          <w:sz w:val="22"/>
          <w:szCs w:val="22"/>
        </w:rPr>
        <w:t>site</w:t>
      </w:r>
      <w:r>
        <w:rPr>
          <w:rFonts w:hint="default" w:ascii="Tahoma" w:hAnsi="Tahoma" w:cs="Tahoma"/>
          <w:i/>
          <w:iCs/>
          <w:sz w:val="22"/>
          <w:szCs w:val="22"/>
          <w:lang w:val="en-US"/>
        </w:rPr>
        <w:t xml:space="preserve"> </w:t>
      </w:r>
      <w:r>
        <w:rPr>
          <w:rFonts w:ascii="Tahoma" w:hAnsi="Tahoma" w:cs="Tahoma"/>
          <w:sz w:val="22"/>
          <w:szCs w:val="22"/>
        </w:rPr>
        <w:t>Badan Keuangan Daerah Provinsi Sumatera Barat</w:t>
      </w:r>
    </w:p>
    <w:p>
      <w:pPr>
        <w:pStyle w:val="10"/>
        <w:ind w:left="1538" w:leftChars="699" w:firstLine="0"/>
        <w:rPr>
          <w:rFonts w:ascii="Tahoma" w:hAnsi="Tahoma" w:cs="Tahoma"/>
          <w:sz w:val="22"/>
          <w:szCs w:val="22"/>
        </w:rPr>
      </w:pPr>
      <w:r>
        <w:rPr>
          <w:rFonts w:ascii="Tahoma" w:hAnsi="Tahoma" w:cs="Tahoma"/>
          <w:i/>
          <w:iCs/>
          <w:sz w:val="22"/>
          <w:szCs w:val="22"/>
          <w:lang w:val="id-ID"/>
        </w:rPr>
        <w:t>Websi</w:t>
      </w:r>
      <w:r>
        <w:rPr>
          <w:rFonts w:ascii="Tahoma" w:hAnsi="Tahoma" w:cs="Tahoma"/>
          <w:i/>
          <w:iCs/>
          <w:sz w:val="22"/>
          <w:szCs w:val="22"/>
        </w:rPr>
        <w:t>te</w:t>
      </w:r>
      <w:r>
        <w:rPr>
          <w:rFonts w:hint="default" w:ascii="Tahoma" w:hAnsi="Tahoma" w:cs="Tahoma"/>
          <w:i/>
          <w:iCs/>
          <w:sz w:val="22"/>
          <w:szCs w:val="22"/>
          <w:lang w:val="en-US"/>
        </w:rPr>
        <w:t xml:space="preserve"> </w:t>
      </w:r>
      <w:r>
        <w:rPr>
          <w:rFonts w:ascii="Tahoma" w:hAnsi="Tahoma" w:cs="Tahoma"/>
          <w:sz w:val="22"/>
          <w:szCs w:val="22"/>
          <w:lang w:val="id-ID"/>
        </w:rPr>
        <w:t>ini berfungsi untuk menginformasikan segal</w:t>
      </w:r>
      <w:r>
        <w:rPr>
          <w:rFonts w:ascii="Tahoma" w:hAnsi="Tahoma" w:cs="Tahoma"/>
          <w:sz w:val="22"/>
          <w:szCs w:val="22"/>
        </w:rPr>
        <w:t>a</w:t>
      </w:r>
      <w:r>
        <w:rPr>
          <w:rFonts w:ascii="Tahoma" w:hAnsi="Tahoma" w:cs="Tahoma"/>
          <w:sz w:val="22"/>
          <w:szCs w:val="22"/>
          <w:lang w:val="id-ID"/>
        </w:rPr>
        <w:t xml:space="preserve"> kegiatan dan produk</w:t>
      </w:r>
      <w:r>
        <w:rPr>
          <w:rFonts w:ascii="Tahoma" w:hAnsi="Tahoma" w:cs="Tahoma"/>
          <w:sz w:val="22"/>
          <w:szCs w:val="22"/>
        </w:rPr>
        <w:t>-</w:t>
      </w:r>
      <w:r>
        <w:rPr>
          <w:rFonts w:ascii="Tahoma" w:hAnsi="Tahoma" w:cs="Tahoma"/>
          <w:sz w:val="22"/>
          <w:szCs w:val="22"/>
          <w:lang w:val="id-ID"/>
        </w:rPr>
        <w:t>produk yang dihasilkan oleh B</w:t>
      </w:r>
      <w:r>
        <w:rPr>
          <w:rFonts w:ascii="Tahoma" w:hAnsi="Tahoma" w:cs="Tahoma"/>
          <w:sz w:val="22"/>
          <w:szCs w:val="22"/>
        </w:rPr>
        <w:t xml:space="preserve">adan Keuangan Daerah </w:t>
      </w:r>
      <w:r>
        <w:rPr>
          <w:rFonts w:ascii="Tahoma" w:hAnsi="Tahoma" w:cs="Tahoma"/>
          <w:sz w:val="22"/>
          <w:szCs w:val="22"/>
          <w:lang w:val="id-ID"/>
        </w:rPr>
        <w:t>yang dapat diakses melalui http//dpkdsumbar.go.id</w:t>
      </w:r>
      <w:r>
        <w:rPr>
          <w:rFonts w:ascii="Tahoma" w:hAnsi="Tahoma" w:cs="Tahoma"/>
          <w:sz w:val="22"/>
          <w:szCs w:val="22"/>
        </w:rPr>
        <w:t>.</w:t>
      </w:r>
    </w:p>
    <w:p>
      <w:pPr>
        <w:pStyle w:val="10"/>
        <w:ind w:left="1538" w:leftChars="699" w:firstLine="0"/>
        <w:rPr>
          <w:rFonts w:ascii="Tahoma" w:hAnsi="Tahoma" w:cs="Tahoma"/>
          <w:sz w:val="22"/>
          <w:szCs w:val="22"/>
        </w:rPr>
      </w:pPr>
    </w:p>
    <w:p>
      <w:pPr>
        <w:pStyle w:val="10"/>
        <w:tabs>
          <w:tab w:val="left" w:pos="880"/>
        </w:tabs>
        <w:spacing w:before="120" w:after="10" w:line="240" w:lineRule="auto"/>
        <w:ind w:left="1440" w:firstLine="0"/>
        <w:jc w:val="center"/>
        <w:rPr>
          <w:rFonts w:ascii="Tahoma" w:hAnsi="Tahoma" w:cs="Tahoma"/>
          <w:b/>
          <w:bCs/>
          <w:sz w:val="22"/>
          <w:szCs w:val="22"/>
        </w:rPr>
      </w:pPr>
      <w:r>
        <w:rPr>
          <w:rFonts w:ascii="Tahoma" w:hAnsi="Tahoma" w:cs="Tahoma"/>
          <w:b/>
          <w:bCs/>
          <w:sz w:val="22"/>
          <w:szCs w:val="22"/>
        </w:rPr>
        <w:t xml:space="preserve">Gambar </w:t>
      </w:r>
      <w:r>
        <w:rPr>
          <w:rFonts w:hint="default" w:ascii="Tahoma" w:hAnsi="Tahoma" w:cs="Tahoma"/>
          <w:b/>
          <w:bCs/>
          <w:sz w:val="22"/>
          <w:szCs w:val="22"/>
          <w:lang w:val="en-US"/>
        </w:rPr>
        <w:t>3</w:t>
      </w:r>
      <w:r>
        <w:rPr>
          <w:rFonts w:ascii="Tahoma" w:hAnsi="Tahoma" w:cs="Tahoma"/>
          <w:b/>
          <w:bCs/>
          <w:sz w:val="22"/>
          <w:szCs w:val="22"/>
        </w:rPr>
        <w:t>.</w:t>
      </w:r>
      <w:r>
        <w:rPr>
          <w:rFonts w:hint="default" w:ascii="Tahoma" w:hAnsi="Tahoma" w:cs="Tahoma"/>
          <w:b/>
          <w:bCs/>
          <w:sz w:val="22"/>
          <w:szCs w:val="22"/>
          <w:lang w:val="en-US"/>
        </w:rPr>
        <w:t>3</w:t>
      </w:r>
    </w:p>
    <w:p>
      <w:pPr>
        <w:pStyle w:val="10"/>
        <w:tabs>
          <w:tab w:val="left" w:pos="880"/>
        </w:tabs>
        <w:spacing w:before="120" w:after="120"/>
        <w:ind w:left="1440" w:firstLine="0"/>
        <w:jc w:val="center"/>
        <w:rPr>
          <w:rFonts w:ascii="Tahoma" w:hAnsi="Tahoma" w:cs="Tahoma"/>
          <w:sz w:val="22"/>
          <w:szCs w:val="22"/>
        </w:rPr>
      </w:pPr>
      <w:r>
        <w:rPr>
          <w:rFonts w:ascii="Tahoma" w:hAnsi="Tahoma" w:cs="Tahoma"/>
          <w:b/>
          <w:bCs/>
          <w:sz w:val="22"/>
          <w:szCs w:val="22"/>
        </w:rPr>
        <w:t>Website Badan Keuangan Daerah Provinsi Sumatera Barat</w:t>
      </w:r>
    </w:p>
    <w:p>
      <w:pPr>
        <w:pStyle w:val="10"/>
        <w:tabs>
          <w:tab w:val="left" w:pos="880"/>
        </w:tabs>
        <w:spacing w:before="120" w:after="360"/>
        <w:ind w:left="1760" w:firstLine="0"/>
        <w:rPr>
          <w:rFonts w:ascii="Tahoma" w:hAnsi="Tahoma" w:cs="Tahoma"/>
          <w:sz w:val="22"/>
          <w:szCs w:val="22"/>
          <w:lang w:val="id-ID"/>
        </w:rPr>
      </w:pPr>
      <w:r>
        <w:rPr>
          <w:rFonts w:ascii="Tahoma" w:hAnsi="Tahoma" w:cs="Tahoma"/>
          <w:lang w:val="id-ID" w:eastAsia="id-ID"/>
        </w:rPr>
        <w:drawing>
          <wp:inline distT="0" distB="0" distL="114300" distR="114300">
            <wp:extent cx="4514215" cy="2539365"/>
            <wp:effectExtent l="0" t="0" r="635" b="13335"/>
            <wp:docPr id="11"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Untitled"/>
                    <pic:cNvPicPr>
                      <a:picLocks noChangeAspect="1"/>
                    </pic:cNvPicPr>
                  </pic:nvPicPr>
                  <pic:blipFill>
                    <a:blip r:embed="rId31" cstate="print"/>
                    <a:stretch>
                      <a:fillRect/>
                    </a:stretch>
                  </pic:blipFill>
                  <pic:spPr>
                    <a:xfrm>
                      <a:off x="0" y="0"/>
                      <a:ext cx="4514215" cy="2539365"/>
                    </a:xfrm>
                    <a:prstGeom prst="rect">
                      <a:avLst/>
                    </a:prstGeom>
                  </pic:spPr>
                </pic:pic>
              </a:graphicData>
            </a:graphic>
          </wp:inline>
        </w:drawing>
      </w:r>
    </w:p>
    <w:p>
      <w:pPr>
        <w:pStyle w:val="10"/>
        <w:numPr>
          <w:ilvl w:val="1"/>
          <w:numId w:val="47"/>
        </w:numPr>
        <w:tabs>
          <w:tab w:val="left" w:pos="880"/>
        </w:tabs>
        <w:spacing w:before="120" w:after="240"/>
        <w:ind w:left="1446" w:hanging="363"/>
        <w:rPr>
          <w:rFonts w:ascii="Tahoma" w:hAnsi="Tahoma" w:cs="Tahoma"/>
          <w:sz w:val="22"/>
          <w:szCs w:val="22"/>
          <w:lang w:val="id-ID"/>
        </w:rPr>
      </w:pPr>
      <w:r>
        <w:rPr>
          <w:rFonts w:ascii="Tahoma" w:hAnsi="Tahoma" w:cs="Tahoma"/>
          <w:sz w:val="22"/>
          <w:szCs w:val="22"/>
          <w:lang w:val="id-ID"/>
        </w:rPr>
        <w:t xml:space="preserve">Sistem Informasi Pengelolaan Keuangan Daerah (SIPKD)secara </w:t>
      </w:r>
      <w:r>
        <w:rPr>
          <w:rFonts w:ascii="Tahoma" w:hAnsi="Tahoma" w:cs="Tahoma"/>
          <w:i/>
          <w:iCs/>
          <w:sz w:val="22"/>
          <w:szCs w:val="22"/>
          <w:lang w:val="id-ID"/>
        </w:rPr>
        <w:t xml:space="preserve">integrated </w:t>
      </w:r>
      <w:r>
        <w:rPr>
          <w:rFonts w:ascii="Tahoma" w:hAnsi="Tahoma" w:cs="Tahoma"/>
          <w:sz w:val="22"/>
          <w:szCs w:val="22"/>
          <w:lang w:val="id-ID"/>
        </w:rPr>
        <w:t xml:space="preserve">dan </w:t>
      </w:r>
      <w:r>
        <w:rPr>
          <w:rFonts w:ascii="Tahoma" w:hAnsi="Tahoma" w:cs="Tahoma"/>
          <w:i/>
          <w:iCs/>
          <w:sz w:val="22"/>
          <w:szCs w:val="22"/>
          <w:lang w:val="id-ID"/>
        </w:rPr>
        <w:t>online</w:t>
      </w:r>
      <w:r>
        <w:rPr>
          <w:rFonts w:ascii="Tahoma" w:hAnsi="Tahoma" w:cs="Tahoma"/>
          <w:sz w:val="22"/>
          <w:szCs w:val="22"/>
          <w:lang w:val="id-ID"/>
        </w:rPr>
        <w:t>, digunakan oleh seluruh OPD dalam penyusunan anggaran, penatausahaan dan pelaporan keuangan. Sistem ini merupakan alat bantu dalam penyusunan laporan keuangan dan pertanggungjawaban APBD Sistem ini operasiona</w:t>
      </w:r>
      <w:r>
        <w:rPr>
          <w:rFonts w:ascii="Tahoma" w:hAnsi="Tahoma" w:cs="Tahoma"/>
          <w:sz w:val="22"/>
          <w:szCs w:val="22"/>
        </w:rPr>
        <w:t>lnya</w:t>
      </w:r>
      <w:r>
        <w:rPr>
          <w:rFonts w:ascii="Tahoma" w:hAnsi="Tahoma" w:cs="Tahoma"/>
          <w:sz w:val="22"/>
          <w:szCs w:val="22"/>
          <w:lang w:val="id-ID"/>
        </w:rPr>
        <w:t xml:space="preserve"> simpel dan mudah digunakan.</w:t>
      </w:r>
    </w:p>
    <w:p>
      <w:pPr>
        <w:pStyle w:val="10"/>
        <w:tabs>
          <w:tab w:val="left" w:pos="880"/>
        </w:tabs>
        <w:spacing w:before="120" w:after="10" w:line="240" w:lineRule="auto"/>
        <w:ind w:left="1440" w:firstLine="0"/>
        <w:jc w:val="center"/>
        <w:rPr>
          <w:rFonts w:ascii="Tahoma" w:hAnsi="Tahoma" w:cs="Tahoma"/>
          <w:b/>
          <w:bCs/>
          <w:sz w:val="22"/>
          <w:szCs w:val="22"/>
        </w:rPr>
      </w:pPr>
    </w:p>
    <w:p>
      <w:pPr>
        <w:pStyle w:val="10"/>
        <w:tabs>
          <w:tab w:val="left" w:pos="880"/>
        </w:tabs>
        <w:spacing w:before="120" w:after="10" w:line="240" w:lineRule="auto"/>
        <w:ind w:left="1440" w:firstLine="0"/>
        <w:jc w:val="center"/>
        <w:rPr>
          <w:rFonts w:ascii="Tahoma" w:hAnsi="Tahoma" w:cs="Tahoma"/>
          <w:b/>
          <w:bCs/>
          <w:sz w:val="22"/>
          <w:szCs w:val="22"/>
        </w:rPr>
      </w:pPr>
    </w:p>
    <w:p>
      <w:pPr>
        <w:pStyle w:val="10"/>
        <w:tabs>
          <w:tab w:val="left" w:pos="880"/>
        </w:tabs>
        <w:spacing w:before="120" w:after="10" w:line="240" w:lineRule="auto"/>
        <w:ind w:left="1440" w:firstLine="0"/>
        <w:jc w:val="center"/>
        <w:rPr>
          <w:rFonts w:ascii="Tahoma" w:hAnsi="Tahoma" w:cs="Tahoma"/>
          <w:b/>
          <w:bCs/>
          <w:sz w:val="22"/>
          <w:szCs w:val="22"/>
        </w:rPr>
      </w:pPr>
    </w:p>
    <w:p>
      <w:pPr>
        <w:pStyle w:val="10"/>
        <w:tabs>
          <w:tab w:val="left" w:pos="880"/>
        </w:tabs>
        <w:spacing w:before="120" w:after="10" w:line="240" w:lineRule="auto"/>
        <w:ind w:left="1440" w:firstLine="0"/>
        <w:jc w:val="center"/>
        <w:rPr>
          <w:rFonts w:ascii="Tahoma" w:hAnsi="Tahoma" w:cs="Tahoma"/>
          <w:b/>
          <w:bCs/>
          <w:sz w:val="22"/>
          <w:szCs w:val="22"/>
        </w:rPr>
      </w:pPr>
    </w:p>
    <w:p>
      <w:pPr>
        <w:pStyle w:val="10"/>
        <w:tabs>
          <w:tab w:val="left" w:pos="880"/>
        </w:tabs>
        <w:spacing w:before="120" w:after="10" w:line="240" w:lineRule="auto"/>
        <w:ind w:left="1440" w:firstLine="0"/>
        <w:jc w:val="center"/>
        <w:rPr>
          <w:rFonts w:ascii="Tahoma" w:hAnsi="Tahoma" w:cs="Tahoma"/>
          <w:b/>
          <w:bCs/>
          <w:sz w:val="22"/>
          <w:szCs w:val="22"/>
        </w:rPr>
      </w:pPr>
      <w:r>
        <w:rPr>
          <w:rFonts w:ascii="Tahoma" w:hAnsi="Tahoma" w:cs="Tahoma"/>
          <w:b/>
          <w:bCs/>
          <w:sz w:val="22"/>
          <w:szCs w:val="22"/>
        </w:rPr>
        <w:t xml:space="preserve">Gambar </w:t>
      </w:r>
      <w:r>
        <w:rPr>
          <w:rFonts w:hint="default" w:ascii="Tahoma" w:hAnsi="Tahoma" w:cs="Tahoma"/>
          <w:b/>
          <w:bCs/>
          <w:sz w:val="22"/>
          <w:szCs w:val="22"/>
          <w:lang w:val="en-US"/>
        </w:rPr>
        <w:t>3</w:t>
      </w:r>
      <w:r>
        <w:rPr>
          <w:rFonts w:ascii="Tahoma" w:hAnsi="Tahoma" w:cs="Tahoma"/>
          <w:b/>
          <w:bCs/>
          <w:sz w:val="22"/>
          <w:szCs w:val="22"/>
        </w:rPr>
        <w:t>.</w:t>
      </w:r>
      <w:r>
        <w:rPr>
          <w:rFonts w:hint="default" w:ascii="Tahoma" w:hAnsi="Tahoma" w:cs="Tahoma"/>
          <w:b/>
          <w:bCs/>
          <w:sz w:val="22"/>
          <w:szCs w:val="22"/>
          <w:lang w:val="en-US"/>
        </w:rPr>
        <w:t>4</w:t>
      </w:r>
      <w:r>
        <w:rPr>
          <w:rFonts w:ascii="Tahoma" w:hAnsi="Tahoma" w:cs="Tahoma"/>
          <w:b/>
          <w:bCs/>
          <w:sz w:val="22"/>
          <w:szCs w:val="22"/>
        </w:rPr>
        <w:t xml:space="preserve"> </w:t>
      </w:r>
    </w:p>
    <w:p>
      <w:pPr>
        <w:pStyle w:val="10"/>
        <w:tabs>
          <w:tab w:val="left" w:pos="880"/>
        </w:tabs>
        <w:spacing w:before="120" w:after="10" w:line="480" w:lineRule="auto"/>
        <w:ind w:left="1440" w:firstLine="0"/>
        <w:jc w:val="center"/>
        <w:rPr>
          <w:rFonts w:ascii="Tahoma" w:hAnsi="Tahoma" w:cs="Tahoma"/>
          <w:sz w:val="22"/>
          <w:szCs w:val="22"/>
          <w:lang w:val="id-ID"/>
        </w:rPr>
      </w:pPr>
      <w:r>
        <w:rPr>
          <w:rFonts w:ascii="Tahoma" w:hAnsi="Tahoma" w:cs="Tahoma"/>
          <w:b/>
          <w:bCs/>
          <w:sz w:val="22"/>
          <w:szCs w:val="22"/>
        </w:rPr>
        <w:t xml:space="preserve"> Aplikasi SIPKD Badan Keuangan Daerah Provinsi Sumatera Barat</w:t>
      </w:r>
    </w:p>
    <w:p>
      <w:pPr>
        <w:pStyle w:val="10"/>
        <w:tabs>
          <w:tab w:val="left" w:pos="880"/>
        </w:tabs>
        <w:spacing w:before="120" w:after="120"/>
        <w:ind w:left="1760" w:firstLine="0"/>
        <w:rPr>
          <w:lang w:val="id-ID" w:eastAsia="id-ID"/>
        </w:rPr>
      </w:pPr>
      <w:r>
        <w:rPr>
          <w:lang w:val="id-ID" w:eastAsia="id-ID"/>
        </w:rPr>
        <w:drawing>
          <wp:inline distT="0" distB="0" distL="114300" distR="114300">
            <wp:extent cx="4596765" cy="2585720"/>
            <wp:effectExtent l="0" t="0" r="13335" b="508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32" cstate="print"/>
                    <a:stretch>
                      <a:fillRect/>
                    </a:stretch>
                  </pic:blipFill>
                  <pic:spPr>
                    <a:xfrm>
                      <a:off x="0" y="0"/>
                      <a:ext cx="4596765" cy="2585720"/>
                    </a:xfrm>
                    <a:prstGeom prst="rect">
                      <a:avLst/>
                    </a:prstGeom>
                    <a:noFill/>
                    <a:ln>
                      <a:noFill/>
                    </a:ln>
                  </pic:spPr>
                </pic:pic>
              </a:graphicData>
            </a:graphic>
          </wp:inline>
        </w:drawing>
      </w:r>
    </w:p>
    <w:p>
      <w:pPr>
        <w:pStyle w:val="10"/>
        <w:numPr>
          <w:ilvl w:val="1"/>
          <w:numId w:val="47"/>
        </w:numPr>
        <w:tabs>
          <w:tab w:val="left" w:pos="880"/>
        </w:tabs>
        <w:spacing w:before="120" w:after="120"/>
        <w:rPr>
          <w:rFonts w:ascii="Tahoma" w:hAnsi="Tahoma" w:cs="Tahoma"/>
          <w:sz w:val="22"/>
          <w:szCs w:val="22"/>
          <w:lang w:val="id-ID"/>
        </w:rPr>
      </w:pPr>
      <w:r>
        <w:rPr>
          <w:rFonts w:ascii="Tahoma" w:hAnsi="Tahoma" w:cs="Tahoma"/>
          <w:sz w:val="22"/>
          <w:szCs w:val="22"/>
          <w:lang w:val="id-ID"/>
        </w:rPr>
        <w:t>Sistem aplikasi e</w:t>
      </w:r>
      <w:r>
        <w:rPr>
          <w:rFonts w:ascii="Tahoma" w:hAnsi="Tahoma" w:cs="Tahoma"/>
          <w:sz w:val="22"/>
          <w:szCs w:val="22"/>
        </w:rPr>
        <w:t>-</w:t>
      </w:r>
      <w:r>
        <w:rPr>
          <w:rFonts w:ascii="Tahoma" w:hAnsi="Tahoma" w:cs="Tahoma"/>
          <w:sz w:val="22"/>
          <w:szCs w:val="22"/>
          <w:lang w:val="id-ID"/>
        </w:rPr>
        <w:t xml:space="preserve">SAMSAT </w:t>
      </w:r>
    </w:p>
    <w:p>
      <w:pPr>
        <w:pStyle w:val="10"/>
        <w:tabs>
          <w:tab w:val="left" w:pos="880"/>
        </w:tabs>
        <w:spacing w:before="120" w:after="240"/>
        <w:ind w:left="1440" w:firstLine="0"/>
        <w:rPr>
          <w:rFonts w:ascii="Tahoma" w:hAnsi="Tahoma" w:cs="Tahoma"/>
          <w:sz w:val="22"/>
          <w:szCs w:val="22"/>
          <w:lang w:val="id-ID"/>
        </w:rPr>
      </w:pPr>
      <w:r>
        <w:rPr>
          <w:rFonts w:ascii="Tahoma" w:hAnsi="Tahoma" w:cs="Tahoma"/>
          <w:sz w:val="22"/>
          <w:szCs w:val="22"/>
          <w:lang w:val="id-ID"/>
        </w:rPr>
        <w:t>Aplikasi Sentralisasi e-SAMSAT merupakan suatu aplikasi yang digunakan untuk pembayaran Pajak Kendaraan Bermotor (PKB), dan Bea Balik Nama Kendaraan Bermotor (BBNKB) pada kantor SAMSAT. Dimana 18 cabang SAMSAT hanya mengak</w:t>
      </w:r>
      <w:r>
        <w:rPr>
          <w:rFonts w:ascii="Tahoma" w:hAnsi="Tahoma" w:cs="Tahoma"/>
          <w:sz w:val="22"/>
          <w:szCs w:val="22"/>
        </w:rPr>
        <w:t>ses</w:t>
      </w:r>
      <w:r>
        <w:rPr>
          <w:rFonts w:ascii="Tahoma" w:hAnsi="Tahoma" w:cs="Tahoma"/>
          <w:sz w:val="22"/>
          <w:szCs w:val="22"/>
          <w:lang w:val="id-ID"/>
        </w:rPr>
        <w:t xml:space="preserve"> 1 database yang berada di kantar UPTD Sistem Informasi Keuangan Daerah Sumatera Barat. </w:t>
      </w:r>
    </w:p>
    <w:p>
      <w:pPr>
        <w:pStyle w:val="10"/>
        <w:tabs>
          <w:tab w:val="left" w:pos="880"/>
        </w:tabs>
        <w:spacing w:before="120" w:after="10" w:line="240" w:lineRule="auto"/>
        <w:ind w:left="1440" w:firstLine="0"/>
        <w:jc w:val="center"/>
        <w:rPr>
          <w:rFonts w:ascii="Tahoma" w:hAnsi="Tahoma" w:cs="Tahoma"/>
          <w:b/>
          <w:bCs/>
          <w:sz w:val="22"/>
          <w:szCs w:val="22"/>
        </w:rPr>
      </w:pPr>
      <w:r>
        <w:rPr>
          <w:rFonts w:ascii="Tahoma" w:hAnsi="Tahoma" w:cs="Tahoma"/>
          <w:b/>
          <w:bCs/>
          <w:sz w:val="22"/>
          <w:szCs w:val="22"/>
        </w:rPr>
        <w:t xml:space="preserve">Gambar </w:t>
      </w:r>
      <w:r>
        <w:rPr>
          <w:rFonts w:hint="default" w:ascii="Tahoma" w:hAnsi="Tahoma" w:cs="Tahoma"/>
          <w:b/>
          <w:bCs/>
          <w:sz w:val="22"/>
          <w:szCs w:val="22"/>
          <w:lang w:val="en-US"/>
        </w:rPr>
        <w:t>3</w:t>
      </w:r>
      <w:r>
        <w:rPr>
          <w:rFonts w:ascii="Tahoma" w:hAnsi="Tahoma" w:cs="Tahoma"/>
          <w:b/>
          <w:bCs/>
          <w:sz w:val="22"/>
          <w:szCs w:val="22"/>
        </w:rPr>
        <w:t>.</w:t>
      </w:r>
      <w:r>
        <w:rPr>
          <w:rFonts w:hint="default" w:ascii="Tahoma" w:hAnsi="Tahoma" w:cs="Tahoma"/>
          <w:b/>
          <w:bCs/>
          <w:sz w:val="22"/>
          <w:szCs w:val="22"/>
          <w:lang w:val="en-US"/>
        </w:rPr>
        <w:t>5</w:t>
      </w:r>
    </w:p>
    <w:p>
      <w:pPr>
        <w:pStyle w:val="10"/>
        <w:tabs>
          <w:tab w:val="left" w:pos="880"/>
        </w:tabs>
        <w:spacing w:before="120" w:afterLines="50" w:line="240" w:lineRule="auto"/>
        <w:ind w:left="1440" w:firstLine="0"/>
        <w:jc w:val="center"/>
        <w:rPr>
          <w:rFonts w:ascii="Tahoma" w:hAnsi="Tahoma" w:cs="Tahoma"/>
          <w:b/>
          <w:bCs/>
          <w:sz w:val="22"/>
          <w:szCs w:val="22"/>
        </w:rPr>
      </w:pPr>
      <w:r>
        <w:rPr>
          <w:rFonts w:ascii="Tahoma" w:hAnsi="Tahoma" w:cs="Tahoma"/>
          <w:b/>
          <w:bCs/>
          <w:sz w:val="22"/>
          <w:szCs w:val="22"/>
        </w:rPr>
        <w:t>Sistem Aplikasi e-SAMSAT</w:t>
      </w:r>
    </w:p>
    <w:p>
      <w:pPr>
        <w:pStyle w:val="10"/>
        <w:tabs>
          <w:tab w:val="left" w:pos="880"/>
        </w:tabs>
        <w:spacing w:before="120" w:after="120"/>
        <w:ind w:left="1760" w:leftChars="0" w:firstLine="0" w:firstLineChars="0"/>
        <w:rPr>
          <w:rFonts w:ascii="Tahoma" w:hAnsi="Tahoma" w:cs="Tahoma"/>
          <w:sz w:val="22"/>
          <w:szCs w:val="22"/>
          <w:lang w:val="id-ID"/>
        </w:rPr>
      </w:pPr>
      <w:r>
        <w:rPr>
          <w:rFonts w:ascii="Tahoma" w:hAnsi="Tahoma" w:cs="Tahoma"/>
          <w:sz w:val="22"/>
          <w:szCs w:val="22"/>
          <w:lang w:val="id-ID" w:eastAsia="id-ID"/>
        </w:rPr>
        <w:drawing>
          <wp:inline distT="0" distB="0" distL="114300" distR="114300">
            <wp:extent cx="4218305" cy="2490470"/>
            <wp:effectExtent l="0" t="0" r="10795" b="5080"/>
            <wp:docPr id="16" name="Picture 13" descr="ESAM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3" descr="ESAMSAT"/>
                    <pic:cNvPicPr>
                      <a:picLocks noChangeAspect="1"/>
                    </pic:cNvPicPr>
                  </pic:nvPicPr>
                  <pic:blipFill>
                    <a:blip r:embed="rId33"/>
                    <a:stretch>
                      <a:fillRect/>
                    </a:stretch>
                  </pic:blipFill>
                  <pic:spPr>
                    <a:xfrm>
                      <a:off x="0" y="0"/>
                      <a:ext cx="4218305" cy="2490470"/>
                    </a:xfrm>
                    <a:prstGeom prst="rect">
                      <a:avLst/>
                    </a:prstGeom>
                  </pic:spPr>
                </pic:pic>
              </a:graphicData>
            </a:graphic>
          </wp:inline>
        </w:drawing>
      </w:r>
    </w:p>
    <w:p>
      <w:pPr>
        <w:pStyle w:val="10"/>
        <w:numPr>
          <w:ilvl w:val="0"/>
          <w:numId w:val="25"/>
        </w:numPr>
        <w:spacing w:afterLines="100" w:line="240" w:lineRule="auto"/>
        <w:ind w:left="442" w:hanging="442"/>
        <w:rPr>
          <w:rFonts w:ascii="Tahoma" w:hAnsi="Tahoma" w:eastAsia="Batang" w:cs="Tahoma"/>
          <w:b/>
          <w:bCs/>
          <w:sz w:val="28"/>
          <w:szCs w:val="28"/>
          <w:lang w:val="id-ID"/>
        </w:rPr>
      </w:pPr>
      <w:r>
        <w:rPr>
          <w:rFonts w:hint="default" w:ascii="Tahoma" w:hAnsi="Tahoma" w:cs="Tahoma"/>
          <w:b/>
          <w:bCs/>
          <w:color w:val="000000"/>
          <w:sz w:val="28"/>
          <w:szCs w:val="28"/>
          <w:lang w:val="en-US"/>
        </w:rPr>
        <w:t>INOVASI</w:t>
      </w:r>
    </w:p>
    <w:p>
      <w:pPr>
        <w:spacing w:line="360" w:lineRule="auto"/>
        <w:ind w:left="440" w:leftChars="200" w:firstLine="0" w:firstLineChars="0"/>
        <w:jc w:val="both"/>
        <w:rPr>
          <w:rFonts w:ascii="Tahoma" w:hAnsi="Tahoma" w:cs="Tahoma"/>
          <w:lang w:val="id-ID"/>
        </w:rPr>
      </w:pPr>
      <w:r>
        <w:rPr>
          <w:rFonts w:ascii="Tahoma" w:hAnsi="Tahoma" w:eastAsia="Batang" w:cs="Tahoma"/>
          <w:lang w:val="id-ID"/>
        </w:rPr>
        <w:t>Inovasi dimaknai sebagai penemuan baru atau proses kreatif terhadap sesuatu yang ada atau belum ada. Inovasi dianggap mampu meningkatkan nilai tambah output kegiatan yang berkualitas.</w:t>
      </w:r>
      <w:r>
        <w:rPr>
          <w:rFonts w:ascii="Tahoma" w:hAnsi="Tahoma" w:cs="Tahoma"/>
          <w:color w:val="000000"/>
          <w:lang w:val="id-ID"/>
        </w:rPr>
        <w:t xml:space="preserve">Tantangan global dalam penyelenggaraan pemerintahan menuntut aparatur untuk bergerak dinamis dan kreatif.Keterbatasn sumber daya harus dipandang sebagai pemicu gagasan dan ide kreatif yang dapat memberikan manfaat yang baik bagi masyarakat langsung maupun tidak langsung. Sebagai bentuk komitmen  </w:t>
      </w:r>
      <w:r>
        <w:rPr>
          <w:rFonts w:ascii="Tahoma" w:hAnsi="Tahoma" w:cs="Tahoma"/>
          <w:color w:val="000000"/>
        </w:rPr>
        <w:t xml:space="preserve">Badan Keuangan Daerah </w:t>
      </w:r>
      <w:r>
        <w:rPr>
          <w:rFonts w:ascii="Tahoma" w:hAnsi="Tahoma" w:cs="Tahoma"/>
          <w:color w:val="000000"/>
          <w:lang w:val="id-ID"/>
        </w:rPr>
        <w:t xml:space="preserve">dalam mewujudkan pelayanan yang prima </w:t>
      </w:r>
      <w:r>
        <w:rPr>
          <w:rFonts w:ascii="Tahoma" w:hAnsi="Tahoma" w:cs="Tahoma"/>
          <w:color w:val="000000"/>
        </w:rPr>
        <w:t xml:space="preserve">Badan Keuangan Daerah </w:t>
      </w:r>
      <w:r>
        <w:rPr>
          <w:rFonts w:ascii="Tahoma" w:hAnsi="Tahoma" w:cs="Tahoma"/>
          <w:color w:val="000000"/>
          <w:lang w:val="id-ID"/>
        </w:rPr>
        <w:t xml:space="preserve">membuat inovasi dalam pelayanan Samsat maupun keuangan. Inovasi yang dibuat ditujukan untuk mencapai keberhasilan capaian kinerja yang telah ditetapkan. Untuk tahun 2020 ini </w:t>
      </w:r>
      <w:r>
        <w:rPr>
          <w:rFonts w:ascii="Tahoma" w:hAnsi="Tahoma" w:cs="Tahoma"/>
          <w:color w:val="000000"/>
        </w:rPr>
        <w:t xml:space="preserve">Badan Keuangan Daerah </w:t>
      </w:r>
      <w:r>
        <w:rPr>
          <w:rFonts w:ascii="Tahoma" w:hAnsi="Tahoma" w:cs="Tahoma"/>
          <w:color w:val="000000"/>
          <w:lang w:val="id-ID"/>
        </w:rPr>
        <w:t xml:space="preserve">tingkat </w:t>
      </w:r>
      <w:r>
        <w:rPr>
          <w:rFonts w:ascii="Tahoma" w:hAnsi="Tahoma" w:cs="Tahoma"/>
          <w:color w:val="000000"/>
        </w:rPr>
        <w:t>P</w:t>
      </w:r>
      <w:r>
        <w:rPr>
          <w:rFonts w:ascii="Tahoma" w:hAnsi="Tahoma" w:cs="Tahoma"/>
          <w:color w:val="000000"/>
          <w:lang w:val="id-ID"/>
        </w:rPr>
        <w:t>rovinsi Sumatera</w:t>
      </w:r>
      <w:r>
        <w:rPr>
          <w:rFonts w:ascii="Tahoma" w:hAnsi="Tahoma" w:cs="Tahoma"/>
          <w:color w:val="000000"/>
        </w:rPr>
        <w:t xml:space="preserve"> Barat</w:t>
      </w:r>
      <w:r>
        <w:rPr>
          <w:rFonts w:ascii="Tahoma" w:hAnsi="Tahoma" w:cs="Tahoma"/>
          <w:color w:val="000000"/>
          <w:lang w:val="id-ID"/>
        </w:rPr>
        <w:t xml:space="preserve"> mendapat mengeluarkan </w:t>
      </w:r>
      <w:r>
        <w:rPr>
          <w:rFonts w:hint="default" w:ascii="Tahoma" w:hAnsi="Tahoma" w:cs="Tahoma"/>
          <w:color w:val="000000"/>
          <w:lang w:val="en-US"/>
        </w:rPr>
        <w:t>empat</w:t>
      </w:r>
      <w:r>
        <w:rPr>
          <w:rFonts w:ascii="Tahoma" w:hAnsi="Tahoma" w:cs="Tahoma"/>
          <w:color w:val="000000"/>
          <w:lang w:val="id-ID"/>
        </w:rPr>
        <w:t xml:space="preserve"> inovasi yaitu</w:t>
      </w:r>
      <w:r>
        <w:rPr>
          <w:rFonts w:hint="default" w:ascii="Tahoma" w:hAnsi="Tahoma" w:cs="Tahoma"/>
          <w:color w:val="000000"/>
          <w:lang w:val="en-US"/>
        </w:rPr>
        <w:t xml:space="preserve"> </w:t>
      </w:r>
      <w:r>
        <w:rPr>
          <w:rFonts w:ascii="Tahoma" w:hAnsi="Tahoma" w:cs="Tahoma"/>
          <w:color w:val="000000"/>
        </w:rPr>
        <w:t>Senda  e-Samsat  (Sentralisasi Database Aplikasi e-Samsat), Samsat CFD (</w:t>
      </w:r>
      <w:r>
        <w:rPr>
          <w:rFonts w:ascii="Tahoma" w:hAnsi="Tahoma" w:cs="Tahoma"/>
          <w:i/>
          <w:iCs/>
          <w:color w:val="000000"/>
        </w:rPr>
        <w:t>Car Free Day</w:t>
      </w:r>
      <w:r>
        <w:rPr>
          <w:rFonts w:ascii="Tahoma" w:hAnsi="Tahoma" w:cs="Tahoma"/>
          <w:color w:val="000000"/>
        </w:rPr>
        <w:t xml:space="preserve">), </w:t>
      </w:r>
      <w:r>
        <w:rPr>
          <w:rFonts w:ascii="Tahoma" w:hAnsi="Tahoma" w:cs="Tahoma"/>
          <w:color w:val="000000"/>
          <w:lang w:val="id-ID"/>
        </w:rPr>
        <w:t>Samsat Malming (Samsat Malam minggu),</w:t>
      </w:r>
      <w:r>
        <w:rPr>
          <w:rFonts w:hint="default" w:ascii="Tahoma" w:hAnsi="Tahoma" w:cs="Tahoma"/>
          <w:color w:val="000000"/>
          <w:lang w:val="en-US"/>
        </w:rPr>
        <w:t xml:space="preserve"> </w:t>
      </w:r>
      <w:r>
        <w:rPr>
          <w:rFonts w:ascii="Tahoma" w:hAnsi="Tahoma" w:cs="Tahoma"/>
          <w:color w:val="000000"/>
        </w:rPr>
        <w:t xml:space="preserve">dan Transaksi Non Tunai. </w:t>
      </w:r>
      <w:r>
        <w:rPr>
          <w:rFonts w:ascii="Tahoma" w:hAnsi="Tahoma" w:cs="Tahoma"/>
          <w:lang w:val="id-ID"/>
        </w:rPr>
        <w:t>Adapun inovasi Badan Keuangan Daerah dapat dilihat dalam lampiran.</w:t>
      </w:r>
    </w:p>
    <w:p>
      <w:pPr>
        <w:pStyle w:val="10"/>
        <w:spacing w:before="120" w:after="120" w:line="240" w:lineRule="auto"/>
        <w:ind w:left="440" w:firstLine="0"/>
        <w:rPr>
          <w:rFonts w:ascii="Tahoma" w:hAnsi="Tahoma" w:cs="Tahoma"/>
          <w:color w:val="000000"/>
          <w:sz w:val="22"/>
          <w:szCs w:val="22"/>
          <w:lang w:val="id-ID"/>
        </w:rPr>
      </w:pPr>
    </w:p>
    <w:p>
      <w:pPr>
        <w:pStyle w:val="10"/>
        <w:numPr>
          <w:ilvl w:val="0"/>
          <w:numId w:val="25"/>
        </w:numPr>
        <w:spacing w:afterLines="100" w:line="240" w:lineRule="auto"/>
        <w:ind w:left="442" w:hanging="442"/>
        <w:rPr>
          <w:rFonts w:ascii="Tahoma" w:hAnsi="Tahoma" w:cs="Tahoma"/>
          <w:b/>
          <w:bCs/>
          <w:color w:val="000000"/>
          <w:sz w:val="28"/>
          <w:szCs w:val="28"/>
        </w:rPr>
      </w:pPr>
      <w:r>
        <w:rPr>
          <w:rFonts w:ascii="Tahoma" w:hAnsi="Tahoma" w:cs="Tahoma"/>
          <w:b/>
          <w:bCs/>
          <w:color w:val="000000"/>
          <w:sz w:val="28"/>
          <w:szCs w:val="28"/>
        </w:rPr>
        <w:t>EVALUASI KINERJA</w:t>
      </w:r>
    </w:p>
    <w:p>
      <w:pPr>
        <w:pStyle w:val="10"/>
        <w:spacing w:before="120" w:after="240"/>
        <w:ind w:left="440" w:leftChars="200" w:firstLine="0"/>
        <w:rPr>
          <w:sz w:val="28"/>
          <w:szCs w:val="28"/>
        </w:rPr>
      </w:pPr>
      <w:r>
        <w:rPr>
          <w:rFonts w:ascii="Tahoma" w:hAnsi="Tahoma" w:cs="Tahoma"/>
          <w:color w:val="000000"/>
          <w:sz w:val="22"/>
          <w:szCs w:val="22"/>
        </w:rPr>
        <w:t xml:space="preserve">Bentuk evaluasi kinerja yang dilakukan pada Badan Kuangan Daerah Provinsi Sumatera Barat berupa pertemuan evaluasi secara triwulan yang langsung dipimpin oleh Kepala Badan. Pertemuan dilakukan untuk melihat pencapaian target kinerja yang telah ditetapkan. Dalam evaluasi ini jika ada permasalahan atau kendala dalam pelaksanaan tugas maka dicarikan solusi atau pemecahannya dalam bentuk diskusi. Untuk melihat pencapaian program dan kegiatan biasanya langsung dimonitor oleh Kepala Badan lewat sistem yang ada. </w:t>
      </w:r>
      <w:r>
        <w:rPr>
          <w:rFonts w:ascii="Tahoma" w:hAnsi="Tahoma" w:cs="Tahoma"/>
          <w:color w:val="000000"/>
          <w:sz w:val="22"/>
          <w:szCs w:val="22"/>
          <w:lang w:val="id-ID"/>
        </w:rPr>
        <w:t xml:space="preserve">Untuk tahun 2020 ini bentuk evaluasi banyak dilakukan dalam bentuk vitcom karena wabah pandemi covid-19. </w:t>
      </w:r>
      <w:r>
        <w:rPr>
          <w:rFonts w:ascii="Tahoma" w:hAnsi="Tahoma" w:cs="Tahoma"/>
          <w:sz w:val="22"/>
          <w:szCs w:val="22"/>
        </w:rPr>
        <w:t>Dalam pelaksanaan sistem kerja dalam bentuk koordinasi/rapat dengan OPD lain menggunakan teleconfrence. Untuk pelayanan antar OPD dibatasi pelayanan tatap muka pelayanan dilakukan dengan menggunakan IT dalam bentuk email, WA maupun telepon</w:t>
      </w:r>
      <w:r>
        <w:rPr>
          <w:sz w:val="28"/>
          <w:szCs w:val="28"/>
        </w:rPr>
        <w:t xml:space="preserve">.  </w:t>
      </w:r>
    </w:p>
    <w:p>
      <w:pPr>
        <w:jc w:val="both"/>
        <w:rPr>
          <w:b/>
          <w:sz w:val="28"/>
          <w:szCs w:val="28"/>
          <w:lang w:val="id-ID"/>
        </w:rPr>
      </w:pPr>
    </w:p>
    <w:p>
      <w:pPr>
        <w:autoSpaceDE w:val="0"/>
        <w:autoSpaceDN w:val="0"/>
        <w:adjustRightInd w:val="0"/>
        <w:spacing w:afterLines="100" w:line="240" w:lineRule="auto"/>
        <w:rPr>
          <w:rFonts w:ascii="Tahoma" w:hAnsi="Tahoma" w:cs="Tahoma"/>
          <w:b/>
          <w:color w:val="000000"/>
          <w:sz w:val="70"/>
          <w:szCs w:val="70"/>
        </w:rPr>
      </w:pPr>
      <w:r>
        <w:rPr>
          <w:rFonts w:ascii="Tahoma" w:hAnsi="Tahoma" w:cs="Tahoma"/>
          <w:b/>
          <w:color w:val="000000"/>
          <w:sz w:val="70"/>
          <w:szCs w:val="70"/>
        </w:rPr>
        <w:t>BAB IV</w:t>
      </w:r>
    </w:p>
    <w:p>
      <w:pPr>
        <w:autoSpaceDE w:val="0"/>
        <w:autoSpaceDN w:val="0"/>
        <w:adjustRightInd w:val="0"/>
        <w:spacing w:after="0" w:line="240" w:lineRule="auto"/>
        <w:rPr>
          <w:rFonts w:ascii="Tahoma" w:hAnsi="Tahoma" w:cs="Tahoma"/>
          <w:b/>
          <w:bCs/>
          <w:color w:val="000000"/>
          <w:sz w:val="60"/>
          <w:szCs w:val="60"/>
        </w:rPr>
      </w:pPr>
      <w:r>
        <w:rPr>
          <w:rFonts w:ascii="Tahoma" w:hAnsi="Tahoma" w:cs="Tahoma"/>
          <w:b/>
          <w:bCs/>
          <w:color w:val="000000"/>
          <w:sz w:val="60"/>
          <w:szCs w:val="60"/>
        </w:rPr>
        <w:t>PENUTUP</w:t>
      </w:r>
    </w:p>
    <w:p>
      <w:pPr>
        <w:autoSpaceDE w:val="0"/>
        <w:autoSpaceDN w:val="0"/>
        <w:adjustRightInd w:val="0"/>
        <w:spacing w:afterLines="50" w:line="240" w:lineRule="auto"/>
        <w:rPr>
          <w:rFonts w:cs="MyriadPro-BoldCond"/>
          <w:b/>
          <w:bCs/>
          <w:color w:val="000000"/>
          <w:sz w:val="60"/>
          <w:szCs w:val="60"/>
        </w:rPr>
      </w:pPr>
    </w:p>
    <w:p>
      <w:pPr>
        <w:numPr>
          <w:ilvl w:val="0"/>
          <w:numId w:val="48"/>
        </w:numPr>
        <w:autoSpaceDE w:val="0"/>
        <w:autoSpaceDN w:val="0"/>
        <w:adjustRightInd w:val="0"/>
        <w:spacing w:afterLines="100" w:line="240" w:lineRule="auto"/>
        <w:rPr>
          <w:rFonts w:ascii="Tahoma" w:hAnsi="Tahoma" w:cs="Tahoma"/>
          <w:b/>
          <w:bCs/>
          <w:color w:val="000000"/>
          <w:sz w:val="28"/>
          <w:szCs w:val="28"/>
        </w:rPr>
      </w:pPr>
      <w:r>
        <w:rPr>
          <w:rFonts w:ascii="Tahoma" w:hAnsi="Tahoma" w:cs="Tahoma"/>
          <w:b/>
          <w:bCs/>
          <w:color w:val="000000"/>
          <w:sz w:val="28"/>
          <w:szCs w:val="28"/>
        </w:rPr>
        <w:t>KESIMPULAN</w:t>
      </w:r>
    </w:p>
    <w:p>
      <w:pPr>
        <w:spacing w:before="180" w:after="10" w:line="360" w:lineRule="auto"/>
        <w:ind w:left="440" w:leftChars="200"/>
        <w:jc w:val="both"/>
        <w:rPr>
          <w:rFonts w:ascii="Tahoma" w:hAnsi="Tahoma" w:cs="Tahoma"/>
          <w:color w:val="000000"/>
          <w:lang w:val="id-ID"/>
        </w:rPr>
      </w:pPr>
      <w:r>
        <w:rPr>
          <w:rFonts w:ascii="Tahoma" w:hAnsi="Tahoma" w:cs="Tahoma"/>
          <w:color w:val="000000"/>
          <w:lang w:val="id-ID"/>
        </w:rPr>
        <w:t xml:space="preserve">Laporan Kinerja </w:t>
      </w:r>
      <w:r>
        <w:rPr>
          <w:rFonts w:ascii="Tahoma" w:hAnsi="Tahoma" w:cs="Tahoma"/>
          <w:color w:val="000000"/>
        </w:rPr>
        <w:t>Badan Keuangan Daerah Provinsi Sumatera Barat</w:t>
      </w:r>
      <w:r>
        <w:rPr>
          <w:rFonts w:ascii="Tahoma" w:hAnsi="Tahoma" w:cs="Tahoma"/>
          <w:color w:val="000000"/>
          <w:lang w:val="id-ID"/>
        </w:rPr>
        <w:t xml:space="preserve"> Tahun 2021 merupakancerminan capaian kinerja kegiatan dan sasaran </w:t>
      </w:r>
      <w:r>
        <w:rPr>
          <w:rFonts w:ascii="Tahoma" w:hAnsi="Tahoma" w:cs="Tahoma"/>
          <w:color w:val="000000"/>
        </w:rPr>
        <w:t>tahun 20</w:t>
      </w:r>
      <w:r>
        <w:rPr>
          <w:rFonts w:ascii="Tahoma" w:hAnsi="Tahoma" w:cs="Tahoma"/>
          <w:color w:val="000000"/>
          <w:lang w:val="id-ID"/>
        </w:rPr>
        <w:t xml:space="preserve">20 berdasarkan </w:t>
      </w:r>
      <w:r>
        <w:rPr>
          <w:rFonts w:ascii="Tahoma" w:hAnsi="Tahoma" w:cs="Tahoma"/>
          <w:color w:val="000000"/>
        </w:rPr>
        <w:t>R</w:t>
      </w:r>
      <w:r>
        <w:rPr>
          <w:rFonts w:ascii="Tahoma" w:hAnsi="Tahoma" w:cs="Tahoma"/>
          <w:color w:val="000000"/>
          <w:lang w:val="id-ID"/>
        </w:rPr>
        <w:t xml:space="preserve">encana </w:t>
      </w:r>
      <w:r>
        <w:rPr>
          <w:rFonts w:ascii="Tahoma" w:hAnsi="Tahoma" w:cs="Tahoma"/>
          <w:color w:val="000000"/>
        </w:rPr>
        <w:t>S</w:t>
      </w:r>
      <w:r>
        <w:rPr>
          <w:rFonts w:ascii="Tahoma" w:hAnsi="Tahoma" w:cs="Tahoma"/>
          <w:color w:val="000000"/>
          <w:lang w:val="id-ID"/>
        </w:rPr>
        <w:t>tra</w:t>
      </w:r>
      <w:r>
        <w:rPr>
          <w:rFonts w:ascii="Tahoma" w:hAnsi="Tahoma" w:cs="Tahoma"/>
          <w:color w:val="000000"/>
        </w:rPr>
        <w:t>tegis</w:t>
      </w:r>
      <w:r>
        <w:rPr>
          <w:rFonts w:ascii="Tahoma" w:hAnsi="Tahoma" w:cs="Tahoma"/>
          <w:color w:val="000000"/>
          <w:lang w:val="id-ID"/>
        </w:rPr>
        <w:t xml:space="preserve"> (Renstra) dan </w:t>
      </w:r>
      <w:r>
        <w:rPr>
          <w:rFonts w:ascii="Tahoma" w:hAnsi="Tahoma" w:cs="Tahoma"/>
          <w:color w:val="000000"/>
        </w:rPr>
        <w:t>R</w:t>
      </w:r>
      <w:r>
        <w:rPr>
          <w:rFonts w:ascii="Tahoma" w:hAnsi="Tahoma" w:cs="Tahoma"/>
          <w:color w:val="000000"/>
          <w:lang w:val="id-ID"/>
        </w:rPr>
        <w:t xml:space="preserve">encana </w:t>
      </w:r>
      <w:r>
        <w:rPr>
          <w:rFonts w:ascii="Tahoma" w:hAnsi="Tahoma" w:cs="Tahoma"/>
          <w:color w:val="000000"/>
        </w:rPr>
        <w:t>K</w:t>
      </w:r>
      <w:r>
        <w:rPr>
          <w:rFonts w:ascii="Tahoma" w:hAnsi="Tahoma" w:cs="Tahoma"/>
          <w:color w:val="000000"/>
          <w:lang w:val="id-ID"/>
        </w:rPr>
        <w:t xml:space="preserve">inerja (Renja) yang telah disusun sebelumnya. Laporan Kinerja </w:t>
      </w:r>
      <w:r>
        <w:rPr>
          <w:rFonts w:ascii="Tahoma" w:hAnsi="Tahoma" w:cs="Tahoma"/>
          <w:color w:val="000000"/>
        </w:rPr>
        <w:t>Badan Keuangan Daerah</w:t>
      </w:r>
      <w:r>
        <w:rPr>
          <w:rFonts w:ascii="Tahoma" w:hAnsi="Tahoma" w:cs="Tahoma"/>
          <w:color w:val="000000"/>
          <w:lang w:val="id-ID"/>
        </w:rPr>
        <w:t xml:space="preserve"> disusun berdasarkan Laporan Capaian Kinerja yang dilaksanakan oleh bidang-bidang </w:t>
      </w:r>
      <w:r>
        <w:rPr>
          <w:rFonts w:ascii="Tahoma" w:hAnsi="Tahoma" w:cs="Tahoma"/>
          <w:color w:val="000000"/>
        </w:rPr>
        <w:t xml:space="preserve">unit </w:t>
      </w:r>
      <w:r>
        <w:rPr>
          <w:rFonts w:ascii="Tahoma" w:hAnsi="Tahoma" w:cs="Tahoma"/>
          <w:color w:val="000000"/>
          <w:lang w:val="id-ID"/>
        </w:rPr>
        <w:t xml:space="preserve">kerja dan UPTD PPD yang ada di lingkungan </w:t>
      </w:r>
      <w:r>
        <w:rPr>
          <w:rFonts w:ascii="Tahoma" w:hAnsi="Tahoma" w:cs="Tahoma"/>
          <w:color w:val="000000"/>
        </w:rPr>
        <w:t>Badan Keuangan Daerah</w:t>
      </w:r>
      <w:r>
        <w:rPr>
          <w:rFonts w:ascii="Tahoma" w:hAnsi="Tahoma" w:cs="Tahoma"/>
          <w:color w:val="000000"/>
          <w:lang w:val="id-ID"/>
        </w:rPr>
        <w:t xml:space="preserve"> Provinsi Sumatera Barat. Dengan demikian Laporan Kinerja </w:t>
      </w:r>
      <w:r>
        <w:rPr>
          <w:rFonts w:ascii="Tahoma" w:hAnsi="Tahoma" w:cs="Tahoma"/>
          <w:color w:val="000000"/>
        </w:rPr>
        <w:t>Badan Keuangan Daerahm</w:t>
      </w:r>
      <w:r>
        <w:rPr>
          <w:rFonts w:ascii="Tahoma" w:hAnsi="Tahoma" w:cs="Tahoma"/>
          <w:color w:val="000000"/>
          <w:lang w:val="id-ID"/>
        </w:rPr>
        <w:t>erupakan laporan terintegrasi dan terkonsolidasi (</w:t>
      </w:r>
      <w:r>
        <w:rPr>
          <w:rFonts w:ascii="Tahoma" w:hAnsi="Tahoma" w:cs="Tahoma"/>
          <w:i/>
          <w:color w:val="000000"/>
          <w:lang w:val="id-ID"/>
        </w:rPr>
        <w:t>integrated and consolidated report</w:t>
      </w:r>
      <w:r>
        <w:rPr>
          <w:rFonts w:ascii="Tahoma" w:hAnsi="Tahoma" w:cs="Tahoma"/>
          <w:color w:val="000000"/>
          <w:lang w:val="id-ID"/>
        </w:rPr>
        <w:t xml:space="preserve">) terhadap pencapaian kinerja </w:t>
      </w:r>
      <w:r>
        <w:rPr>
          <w:rFonts w:ascii="Tahoma" w:hAnsi="Tahoma" w:cs="Tahoma"/>
          <w:color w:val="000000"/>
        </w:rPr>
        <w:t>b</w:t>
      </w:r>
      <w:r>
        <w:rPr>
          <w:rFonts w:ascii="Tahoma" w:hAnsi="Tahoma" w:cs="Tahoma"/>
          <w:color w:val="000000"/>
          <w:lang w:val="id-ID"/>
        </w:rPr>
        <w:t>idang-</w:t>
      </w:r>
      <w:r>
        <w:rPr>
          <w:rFonts w:ascii="Tahoma" w:hAnsi="Tahoma" w:cs="Tahoma"/>
          <w:color w:val="000000"/>
        </w:rPr>
        <w:t>b</w:t>
      </w:r>
      <w:r>
        <w:rPr>
          <w:rFonts w:ascii="Tahoma" w:hAnsi="Tahoma" w:cs="Tahoma"/>
          <w:color w:val="000000"/>
          <w:lang w:val="id-ID"/>
        </w:rPr>
        <w:t>idang maupun UPTD PPD di Sumatera Barat secara keseluruhan.</w:t>
      </w:r>
    </w:p>
    <w:p>
      <w:pPr>
        <w:spacing w:before="180" w:line="360" w:lineRule="auto"/>
        <w:ind w:left="440" w:leftChars="200"/>
        <w:jc w:val="both"/>
        <w:rPr>
          <w:rFonts w:ascii="Tahoma" w:hAnsi="Tahoma" w:cs="Tahoma"/>
          <w:color w:val="000000"/>
          <w:lang w:val="id-ID"/>
        </w:rPr>
      </w:pPr>
      <w:r>
        <w:rPr>
          <w:rFonts w:ascii="Tahoma" w:hAnsi="Tahoma" w:cs="Tahoma"/>
          <w:color w:val="000000"/>
          <w:lang w:val="id-ID"/>
        </w:rPr>
        <w:t>Berdasarkan analisis yang telah dilakukan terhadap laporan kinerja dari unit-unit kerja dan keterkaitan antara realisasi Renstra dan Renja dengan tingkat capaiannya, maka dapat disimpulkan hal-hal sebagai berikut:</w:t>
      </w:r>
    </w:p>
    <w:p>
      <w:pPr>
        <w:numPr>
          <w:ilvl w:val="0"/>
          <w:numId w:val="49"/>
        </w:numPr>
        <w:tabs>
          <w:tab w:val="clear" w:pos="425"/>
        </w:tabs>
        <w:spacing w:before="180" w:after="0" w:line="360" w:lineRule="auto"/>
        <w:ind w:left="880" w:hanging="440"/>
        <w:jc w:val="both"/>
        <w:rPr>
          <w:rFonts w:ascii="Tahoma" w:hAnsi="Tahoma" w:cs="Tahoma"/>
          <w:color w:val="000000"/>
          <w:lang w:val="id-ID"/>
        </w:rPr>
      </w:pPr>
      <w:r>
        <w:rPr>
          <w:rFonts w:ascii="Tahoma" w:hAnsi="Tahoma" w:cs="Tahoma"/>
          <w:color w:val="000000"/>
          <w:lang w:val="id-ID"/>
        </w:rPr>
        <w:t xml:space="preserve">Program dan Kegiatan yang dilaksanakan oleh setiap unit kerja baik Bidang maupun UPTD berpedoman pada Rencana Pembangunan Jangka Menengah Daerah (RPJMD) dan Renstra Lima Tahunan </w:t>
      </w:r>
      <w:r>
        <w:rPr>
          <w:rFonts w:ascii="Tahoma" w:hAnsi="Tahoma" w:cs="Tahoma"/>
          <w:color w:val="000000"/>
        </w:rPr>
        <w:t>Badan Keuangan Daerah</w:t>
      </w:r>
      <w:r>
        <w:rPr>
          <w:rFonts w:ascii="Tahoma" w:hAnsi="Tahoma" w:cs="Tahoma"/>
          <w:color w:val="000000"/>
          <w:lang w:val="id-ID"/>
        </w:rPr>
        <w:t xml:space="preserve"> 2016 – 2021. Program-program tersebut meliputi </w:t>
      </w:r>
      <w:r>
        <w:rPr>
          <w:rFonts w:ascii="Tahoma" w:hAnsi="Tahoma" w:cs="Tahoma"/>
          <w:color w:val="000000"/>
        </w:rPr>
        <w:t>1)</w:t>
      </w:r>
      <w:r>
        <w:rPr>
          <w:rFonts w:ascii="Tahoma" w:hAnsi="Tahoma" w:cs="Tahoma"/>
          <w:color w:val="000000"/>
          <w:lang w:val="id-ID"/>
        </w:rPr>
        <w:t xml:space="preserve"> Program Pelayanan Administrasi Perkantoran; </w:t>
      </w:r>
      <w:r>
        <w:rPr>
          <w:rFonts w:ascii="Tahoma" w:hAnsi="Tahoma" w:cs="Tahoma"/>
          <w:color w:val="000000"/>
        </w:rPr>
        <w:t>2)</w:t>
      </w:r>
      <w:r>
        <w:rPr>
          <w:rFonts w:ascii="Tahoma" w:hAnsi="Tahoma" w:cs="Tahoma"/>
          <w:color w:val="000000"/>
          <w:lang w:val="id-ID"/>
        </w:rPr>
        <w:t xml:space="preserve"> Program Peningkatan Sarana dan Prasarana Aparatur;  3) Program Peningkatan Disiplin Aparatur; 4) Program Peningkatan Kapasitas Sumber Daya Aparatur; 5) Program Peningkatan Pengembangan Sistem Pelaporan Capaian Kinerja dan Keuangan; 6) Program Peningkatan Kualitas Pengelolaan Keuangan Daerah; 7) Program Pembinaan dan Fasilitasi Pengelolaan Keuangan Kab/Kota; 8) Program Peningkatan Pendapatan Daerah; </w:t>
      </w:r>
      <w:r>
        <w:rPr>
          <w:rFonts w:ascii="Tahoma" w:hAnsi="Tahoma" w:cs="Tahoma"/>
          <w:color w:val="000000"/>
        </w:rPr>
        <w:t xml:space="preserve">dan </w:t>
      </w:r>
      <w:r>
        <w:rPr>
          <w:rFonts w:ascii="Tahoma" w:hAnsi="Tahoma" w:cs="Tahoma"/>
          <w:color w:val="000000"/>
          <w:lang w:val="id-ID"/>
        </w:rPr>
        <w:t>9) Program Pening</w:t>
      </w:r>
      <w:r>
        <w:rPr>
          <w:rFonts w:ascii="Tahoma" w:hAnsi="Tahoma" w:cs="Tahoma"/>
          <w:color w:val="000000"/>
        </w:rPr>
        <w:t>ka</w:t>
      </w:r>
      <w:r>
        <w:rPr>
          <w:rFonts w:ascii="Tahoma" w:hAnsi="Tahoma" w:cs="Tahoma"/>
          <w:color w:val="000000"/>
          <w:lang w:val="id-ID"/>
        </w:rPr>
        <w:t xml:space="preserve">tan Pelayanan Publik; </w:t>
      </w:r>
    </w:p>
    <w:p>
      <w:pPr>
        <w:numPr>
          <w:ilvl w:val="0"/>
          <w:numId w:val="49"/>
        </w:numPr>
        <w:tabs>
          <w:tab w:val="clear" w:pos="425"/>
        </w:tabs>
        <w:autoSpaceDE w:val="0"/>
        <w:autoSpaceDN w:val="0"/>
        <w:adjustRightInd w:val="0"/>
        <w:spacing w:before="120" w:after="120" w:line="360" w:lineRule="auto"/>
        <w:ind w:left="880" w:hanging="440"/>
        <w:jc w:val="both"/>
        <w:rPr>
          <w:rFonts w:ascii="Tahoma" w:hAnsi="Tahoma" w:cs="Tahoma"/>
          <w:color w:val="000000"/>
          <w:lang w:val="id-ID"/>
        </w:rPr>
      </w:pPr>
      <w:r>
        <w:rPr>
          <w:rFonts w:ascii="Tahoma" w:hAnsi="Tahoma" w:cs="Tahoma"/>
          <w:color w:val="000000"/>
          <w:lang w:val="id-ID"/>
        </w:rPr>
        <w:t xml:space="preserve">Adapun pencapaian kinerja input/penyerapan anggaran </w:t>
      </w:r>
      <w:r>
        <w:rPr>
          <w:rFonts w:ascii="Tahoma" w:hAnsi="Tahoma" w:cs="Tahoma"/>
          <w:color w:val="000000"/>
        </w:rPr>
        <w:t>Badan Keuangan Daerah</w:t>
      </w:r>
      <w:r>
        <w:rPr>
          <w:rFonts w:ascii="Tahoma" w:hAnsi="Tahoma" w:cs="Tahoma"/>
          <w:color w:val="000000"/>
          <w:lang w:val="id-ID"/>
        </w:rPr>
        <w:t xml:space="preserve"> Tahun 2020terhadap Belanja Langsung adalah sebesar </w:t>
      </w:r>
      <w:r>
        <w:rPr>
          <w:rFonts w:ascii="Tahoma" w:hAnsi="Tahoma" w:cs="Tahoma"/>
          <w:color w:val="000000"/>
        </w:rPr>
        <w:t>9</w:t>
      </w:r>
      <w:r>
        <w:rPr>
          <w:rFonts w:ascii="Tahoma" w:hAnsi="Tahoma" w:cs="Tahoma"/>
        </w:rPr>
        <w:t>2,39</w:t>
      </w:r>
      <w:r>
        <w:rPr>
          <w:rFonts w:ascii="Tahoma" w:hAnsi="Tahoma" w:cs="Tahoma"/>
          <w:lang w:val="id-ID"/>
        </w:rPr>
        <w:t>%</w:t>
      </w:r>
      <w:r>
        <w:rPr>
          <w:rFonts w:ascii="Tahoma" w:hAnsi="Tahoma" w:cs="Tahoma"/>
          <w:color w:val="000000"/>
          <w:lang w:val="id-ID"/>
        </w:rPr>
        <w:t xml:space="preserve"> dari total pagu anggaran sebesar  Rp. </w:t>
      </w:r>
      <w:r>
        <w:rPr>
          <w:rFonts w:ascii="Tahoma" w:hAnsi="Tahoma" w:cs="Tahoma"/>
          <w:bCs/>
        </w:rPr>
        <w:t>30.77.113.335</w:t>
      </w:r>
      <w:r>
        <w:rPr>
          <w:rFonts w:ascii="Tahoma" w:hAnsi="Tahoma" w:cs="Tahoma"/>
          <w:bCs/>
          <w:lang w:val="id-ID"/>
        </w:rPr>
        <w:t>,-</w:t>
      </w:r>
      <w:r>
        <w:rPr>
          <w:rFonts w:ascii="Tahoma" w:hAnsi="Tahoma" w:cs="Tahoma"/>
          <w:bCs/>
          <w:color w:val="000000"/>
          <w:lang w:val="id-ID"/>
        </w:rPr>
        <w:t xml:space="preserve">. Capaian kinerja input tertinggi </w:t>
      </w:r>
      <w:r>
        <w:rPr>
          <w:rFonts w:ascii="Tahoma" w:hAnsi="Tahoma" w:cs="Tahoma"/>
          <w:bCs/>
          <w:color w:val="000000"/>
        </w:rPr>
        <w:t xml:space="preserve">Belanja Langsung Urusan </w:t>
      </w:r>
      <w:r>
        <w:rPr>
          <w:rFonts w:ascii="Tahoma" w:hAnsi="Tahoma" w:cs="Tahoma"/>
          <w:bCs/>
          <w:color w:val="000000"/>
          <w:lang w:val="id-ID"/>
        </w:rPr>
        <w:t xml:space="preserve">terdapat pada </w:t>
      </w:r>
      <w:r>
        <w:rPr>
          <w:rFonts w:ascii="Tahoma" w:hAnsi="Tahoma" w:cs="Tahoma"/>
          <w:bCs/>
          <w:color w:val="000000"/>
        </w:rPr>
        <w:t xml:space="preserve">Program </w:t>
      </w:r>
      <w:r>
        <w:rPr>
          <w:rFonts w:ascii="Tahoma" w:hAnsi="Tahoma" w:cs="Tahoma"/>
          <w:lang w:val="id-ID"/>
        </w:rPr>
        <w:t xml:space="preserve">Pembinaan </w:t>
      </w:r>
      <w:r>
        <w:rPr>
          <w:rFonts w:ascii="Tahoma" w:hAnsi="Tahoma" w:cs="Tahoma"/>
        </w:rPr>
        <w:t>d</w:t>
      </w:r>
      <w:r>
        <w:rPr>
          <w:rFonts w:ascii="Tahoma" w:hAnsi="Tahoma" w:cs="Tahoma"/>
          <w:lang w:val="id-ID"/>
        </w:rPr>
        <w:t xml:space="preserve">an Fasiltasi Pengelolaan Keuangan Kabupaten/Kota sebesar </w:t>
      </w:r>
      <w:r>
        <w:rPr>
          <w:rFonts w:ascii="Tahoma" w:hAnsi="Tahoma" w:cs="Tahoma"/>
        </w:rPr>
        <w:t>96,21</w:t>
      </w:r>
      <w:r>
        <w:rPr>
          <w:rFonts w:ascii="Tahoma" w:hAnsi="Tahoma" w:cs="Tahoma"/>
          <w:lang w:val="id-ID"/>
        </w:rPr>
        <w:t xml:space="preserve">% dan diikuti dengan </w:t>
      </w:r>
      <w:r>
        <w:rPr>
          <w:rFonts w:ascii="Tahoma" w:hAnsi="Tahoma" w:cs="Tahoma"/>
        </w:rPr>
        <w:t>P</w:t>
      </w:r>
      <w:r>
        <w:rPr>
          <w:rFonts w:ascii="Tahoma" w:hAnsi="Tahoma" w:cs="Tahoma"/>
          <w:lang w:val="id-ID"/>
        </w:rPr>
        <w:t>rogram Peningkatan Pelayanan Publik 9</w:t>
      </w:r>
      <w:r>
        <w:rPr>
          <w:rFonts w:ascii="Tahoma" w:hAnsi="Tahoma" w:cs="Tahoma"/>
        </w:rPr>
        <w:t>1,90</w:t>
      </w:r>
      <w:r>
        <w:rPr>
          <w:rFonts w:ascii="Tahoma" w:hAnsi="Tahoma" w:cs="Tahoma"/>
          <w:lang w:val="id-ID"/>
        </w:rPr>
        <w:t>%</w:t>
      </w:r>
      <w:r>
        <w:rPr>
          <w:rFonts w:ascii="Tahoma" w:hAnsi="Tahoma" w:cs="Tahoma"/>
        </w:rPr>
        <w:t>,</w:t>
      </w:r>
      <w:r>
        <w:rPr>
          <w:rFonts w:hint="default" w:ascii="Tahoma" w:hAnsi="Tahoma" w:cs="Tahoma"/>
          <w:lang w:val="en-US"/>
        </w:rPr>
        <w:t xml:space="preserve"> </w:t>
      </w:r>
      <w:r>
        <w:rPr>
          <w:rFonts w:ascii="Tahoma" w:hAnsi="Tahoma" w:cs="Tahoma"/>
        </w:rPr>
        <w:t>lalu</w:t>
      </w:r>
      <w:r>
        <w:rPr>
          <w:rFonts w:ascii="Tahoma" w:hAnsi="Tahoma" w:cs="Tahoma"/>
          <w:lang w:val="id-ID"/>
        </w:rPr>
        <w:t xml:space="preserve"> Program Peningkatan Kualitas Pengelolaan Keuangan </w:t>
      </w:r>
      <w:r>
        <w:rPr>
          <w:rFonts w:ascii="Tahoma" w:hAnsi="Tahoma" w:cs="Tahoma"/>
        </w:rPr>
        <w:t>90,78</w:t>
      </w:r>
      <w:r>
        <w:rPr>
          <w:rFonts w:ascii="Tahoma" w:hAnsi="Tahoma" w:cs="Tahoma"/>
          <w:lang w:val="id-ID"/>
        </w:rPr>
        <w:t>%</w:t>
      </w:r>
      <w:r>
        <w:rPr>
          <w:rFonts w:ascii="Tahoma" w:hAnsi="Tahoma" w:cs="Tahoma"/>
        </w:rPr>
        <w:t xml:space="preserve"> dan yang terendah </w:t>
      </w:r>
      <w:r>
        <w:rPr>
          <w:rFonts w:ascii="Tahoma" w:hAnsi="Tahoma" w:cs="Tahoma"/>
          <w:lang w:val="id-ID"/>
        </w:rPr>
        <w:t xml:space="preserve">Program Peningkatan Pendapatan Daerah </w:t>
      </w:r>
      <w:r>
        <w:rPr>
          <w:rFonts w:ascii="Tahoma" w:hAnsi="Tahoma" w:cs="Tahoma"/>
        </w:rPr>
        <w:t>89,45</w:t>
      </w:r>
      <w:r>
        <w:rPr>
          <w:rFonts w:ascii="Tahoma" w:hAnsi="Tahoma" w:cs="Tahoma"/>
          <w:lang w:val="id-ID"/>
        </w:rPr>
        <w:t>%</w:t>
      </w:r>
      <w:r>
        <w:rPr>
          <w:rFonts w:ascii="Tahoma" w:hAnsi="Tahoma" w:cs="Tahoma"/>
        </w:rPr>
        <w:t>.</w:t>
      </w:r>
    </w:p>
    <w:p>
      <w:pPr>
        <w:numPr>
          <w:ilvl w:val="0"/>
          <w:numId w:val="49"/>
        </w:numPr>
        <w:tabs>
          <w:tab w:val="clear" w:pos="425"/>
        </w:tabs>
        <w:spacing w:after="0" w:line="360" w:lineRule="auto"/>
        <w:ind w:left="864" w:leftChars="200" w:hangingChars="193"/>
        <w:jc w:val="both"/>
        <w:rPr>
          <w:rFonts w:ascii="Tahoma" w:hAnsi="Tahoma" w:cs="Tahoma"/>
          <w:color w:val="000000"/>
          <w:lang w:val="id-ID"/>
        </w:rPr>
      </w:pPr>
      <w:r>
        <w:rPr>
          <w:rFonts w:ascii="Tahoma" w:hAnsi="Tahoma" w:cs="Tahoma"/>
          <w:color w:val="000000"/>
          <w:lang w:val="id-ID"/>
        </w:rPr>
        <w:t>Pelaksanaan Program dan Kegiatan sebagaimana poin diatas telah memberikan konstribusi terhadap pencapaian Indikator Kinerja Sasaran dengan perinician sebagai berikut :</w:t>
      </w:r>
    </w:p>
    <w:p>
      <w:pPr>
        <w:numPr>
          <w:ilvl w:val="0"/>
          <w:numId w:val="50"/>
        </w:numPr>
        <w:tabs>
          <w:tab w:val="clear" w:pos="425"/>
        </w:tabs>
        <w:spacing w:after="0" w:line="360" w:lineRule="auto"/>
        <w:ind w:left="1300" w:leftChars="398" w:hangingChars="193"/>
        <w:jc w:val="both"/>
        <w:rPr>
          <w:rFonts w:ascii="Tahoma" w:hAnsi="Tahoma" w:cs="Tahoma"/>
          <w:color w:val="000000"/>
          <w:lang w:val="id-ID"/>
        </w:rPr>
      </w:pPr>
      <w:r>
        <w:rPr>
          <w:rFonts w:ascii="Tahoma" w:hAnsi="Tahoma" w:cs="Tahoma"/>
          <w:color w:val="000000"/>
          <w:lang w:val="id-ID"/>
        </w:rPr>
        <w:t>Realisasi Opini BPK diharapkan realisasinya tahun ini adalah WTP. Sesuai dengan target yang telah ditentukan juga WTP dengan capaian kinerja sebesar 100%.</w:t>
      </w:r>
    </w:p>
    <w:p>
      <w:pPr>
        <w:numPr>
          <w:ilvl w:val="0"/>
          <w:numId w:val="50"/>
        </w:numPr>
        <w:tabs>
          <w:tab w:val="clear" w:pos="425"/>
        </w:tabs>
        <w:spacing w:after="0" w:line="360" w:lineRule="auto"/>
        <w:ind w:left="1300" w:leftChars="398" w:hangingChars="193"/>
        <w:jc w:val="both"/>
        <w:rPr>
          <w:rFonts w:ascii="Tahoma" w:hAnsi="Tahoma" w:cs="Tahoma"/>
          <w:color w:val="000000"/>
          <w:lang w:val="id-ID"/>
        </w:rPr>
      </w:pPr>
      <w:r>
        <w:rPr>
          <w:rFonts w:ascii="Tahoma" w:hAnsi="Tahoma" w:cs="Tahoma"/>
          <w:color w:val="000000"/>
          <w:lang w:val="id-ID"/>
        </w:rPr>
        <w:t xml:space="preserve">Terealisasinya Persentase Peningkatan Pendapatan Asli Daerah sebesar </w:t>
      </w:r>
      <w:r>
        <w:rPr>
          <w:rFonts w:hint="default" w:ascii="Tahoma" w:hAnsi="Tahoma" w:cs="Tahoma"/>
          <w:color w:val="000000"/>
          <w:lang w:val="en-US"/>
        </w:rPr>
        <w:t xml:space="preserve">-3,31% </w:t>
      </w:r>
      <w:r>
        <w:rPr>
          <w:rFonts w:ascii="Tahoma" w:hAnsi="Tahoma" w:cs="Tahoma"/>
          <w:color w:val="000000"/>
          <w:lang w:val="id-ID"/>
        </w:rPr>
        <w:t xml:space="preserve">dari target semula sebesar </w:t>
      </w:r>
      <w:r>
        <w:rPr>
          <w:rFonts w:hint="default" w:ascii="Tahoma" w:hAnsi="Tahoma" w:cs="Tahoma"/>
          <w:color w:val="000000"/>
          <w:lang w:val="en-US"/>
        </w:rPr>
        <w:t>-8,47</w:t>
      </w:r>
      <w:r>
        <w:rPr>
          <w:rFonts w:ascii="Tahoma" w:hAnsi="Tahoma" w:cs="Tahoma"/>
          <w:color w:val="000000"/>
          <w:lang w:val="id-ID"/>
        </w:rPr>
        <w:t>%, maka dapat disimpul</w:t>
      </w:r>
      <w:r>
        <w:rPr>
          <w:rFonts w:ascii="Tahoma" w:hAnsi="Tahoma" w:cs="Tahoma"/>
          <w:color w:val="000000"/>
        </w:rPr>
        <w:t>k</w:t>
      </w:r>
      <w:r>
        <w:rPr>
          <w:rFonts w:ascii="Tahoma" w:hAnsi="Tahoma" w:cs="Tahoma"/>
          <w:color w:val="000000"/>
          <w:lang w:val="id-ID"/>
        </w:rPr>
        <w:t xml:space="preserve">an capaian kinerjanya sebesar </w:t>
      </w:r>
      <w:r>
        <w:rPr>
          <w:rFonts w:ascii="Tahoma" w:hAnsi="Tahoma" w:cs="Tahoma"/>
          <w:color w:val="000000"/>
        </w:rPr>
        <w:t>1</w:t>
      </w:r>
      <w:r>
        <w:rPr>
          <w:rFonts w:hint="default" w:ascii="Tahoma" w:hAnsi="Tahoma" w:cs="Tahoma"/>
          <w:color w:val="000000"/>
          <w:lang w:val="en-US"/>
        </w:rPr>
        <w:t>60</w:t>
      </w:r>
      <w:r>
        <w:rPr>
          <w:rFonts w:ascii="Tahoma" w:hAnsi="Tahoma" w:cs="Tahoma"/>
          <w:color w:val="000000"/>
          <w:lang w:val="id-ID"/>
        </w:rPr>
        <w:t>%.</w:t>
      </w:r>
    </w:p>
    <w:p>
      <w:pPr>
        <w:numPr>
          <w:ilvl w:val="0"/>
          <w:numId w:val="50"/>
        </w:numPr>
        <w:tabs>
          <w:tab w:val="clear" w:pos="425"/>
        </w:tabs>
        <w:spacing w:after="0" w:line="360" w:lineRule="auto"/>
        <w:ind w:left="1300" w:leftChars="398" w:hangingChars="193"/>
        <w:jc w:val="both"/>
        <w:rPr>
          <w:rFonts w:ascii="Tahoma" w:hAnsi="Tahoma" w:cs="Tahoma"/>
          <w:color w:val="000000"/>
          <w:lang w:val="id-ID"/>
        </w:rPr>
      </w:pPr>
      <w:r>
        <w:rPr>
          <w:rFonts w:ascii="Tahoma" w:hAnsi="Tahoma" w:cs="Tahoma"/>
          <w:color w:val="000000"/>
          <w:lang w:val="id-ID"/>
        </w:rPr>
        <w:t>Realisasi Persentase Kab</w:t>
      </w:r>
      <w:r>
        <w:rPr>
          <w:rFonts w:ascii="Tahoma" w:hAnsi="Tahoma" w:cs="Tahoma"/>
          <w:color w:val="000000"/>
        </w:rPr>
        <w:t>upaten</w:t>
      </w:r>
      <w:r>
        <w:rPr>
          <w:rFonts w:ascii="Tahoma" w:hAnsi="Tahoma" w:cs="Tahoma"/>
          <w:color w:val="000000"/>
          <w:lang w:val="id-ID"/>
        </w:rPr>
        <w:t xml:space="preserve">/Kota dengan Opini WTP adalah 100% dari target </w:t>
      </w:r>
      <w:r>
        <w:rPr>
          <w:rFonts w:hint="default" w:ascii="Tahoma" w:hAnsi="Tahoma" w:cs="Tahoma"/>
          <w:color w:val="000000"/>
          <w:lang w:val="en-US"/>
        </w:rPr>
        <w:t>100</w:t>
      </w:r>
      <w:r>
        <w:rPr>
          <w:rFonts w:ascii="Tahoma" w:hAnsi="Tahoma" w:cs="Tahoma"/>
          <w:color w:val="000000"/>
          <w:lang w:val="id-ID"/>
        </w:rPr>
        <w:t xml:space="preserve">% dengan capaian kinerja sebesar </w:t>
      </w:r>
      <w:r>
        <w:rPr>
          <w:rFonts w:ascii="Tahoma" w:hAnsi="Tahoma" w:cs="Tahoma"/>
          <w:color w:val="000000"/>
        </w:rPr>
        <w:t>100</w:t>
      </w:r>
      <w:r>
        <w:rPr>
          <w:rFonts w:ascii="Tahoma" w:hAnsi="Tahoma" w:cs="Tahoma"/>
          <w:color w:val="000000"/>
          <w:lang w:val="id-ID"/>
        </w:rPr>
        <w:t>%</w:t>
      </w:r>
    </w:p>
    <w:p>
      <w:pPr>
        <w:numPr>
          <w:ilvl w:val="0"/>
          <w:numId w:val="50"/>
        </w:numPr>
        <w:tabs>
          <w:tab w:val="clear" w:pos="425"/>
        </w:tabs>
        <w:spacing w:after="0" w:line="360" w:lineRule="auto"/>
        <w:ind w:left="1300" w:leftChars="398" w:hangingChars="193"/>
        <w:jc w:val="both"/>
        <w:rPr>
          <w:rFonts w:ascii="Tahoma" w:hAnsi="Tahoma" w:cs="Tahoma"/>
          <w:color w:val="000000"/>
          <w:lang w:val="id-ID"/>
        </w:rPr>
      </w:pPr>
      <w:r>
        <w:rPr>
          <w:rFonts w:ascii="Tahoma" w:hAnsi="Tahoma" w:cs="Tahoma"/>
          <w:color w:val="000000"/>
          <w:lang w:val="id-ID"/>
        </w:rPr>
        <w:t xml:space="preserve">Realisasi Indeks Kepuasan Masyarakat </w:t>
      </w:r>
      <w:r>
        <w:rPr>
          <w:rFonts w:hint="default" w:ascii="Tahoma" w:hAnsi="Tahoma" w:cs="Tahoma"/>
          <w:color w:val="000000"/>
          <w:lang w:val="en-US"/>
        </w:rPr>
        <w:t xml:space="preserve">adalah </w:t>
      </w:r>
      <w:r>
        <w:rPr>
          <w:rFonts w:ascii="Tahoma" w:hAnsi="Tahoma" w:cs="Tahoma"/>
          <w:color w:val="000000"/>
          <w:lang w:val="id-ID"/>
        </w:rPr>
        <w:t xml:space="preserve">Baik dari target baik dengan capaian kinerja sebesar </w:t>
      </w:r>
      <w:r>
        <w:rPr>
          <w:rFonts w:ascii="Tahoma" w:hAnsi="Tahoma" w:cs="Tahoma"/>
          <w:color w:val="000000"/>
        </w:rPr>
        <w:t>10</w:t>
      </w:r>
      <w:r>
        <w:rPr>
          <w:rFonts w:hint="default" w:ascii="Tahoma" w:hAnsi="Tahoma" w:cs="Tahoma"/>
          <w:color w:val="000000"/>
          <w:lang w:val="en-US"/>
        </w:rPr>
        <w:t>0</w:t>
      </w:r>
      <w:r>
        <w:rPr>
          <w:rFonts w:ascii="Tahoma" w:hAnsi="Tahoma" w:cs="Tahoma"/>
          <w:color w:val="000000"/>
          <w:lang w:val="id-ID"/>
        </w:rPr>
        <w:t>%</w:t>
      </w:r>
      <w:r>
        <w:rPr>
          <w:rFonts w:ascii="Tahoma" w:hAnsi="Tahoma" w:cs="Tahoma"/>
          <w:color w:val="000000"/>
        </w:rPr>
        <w:t>.</w:t>
      </w:r>
    </w:p>
    <w:p>
      <w:pPr>
        <w:numPr>
          <w:ilvl w:val="0"/>
          <w:numId w:val="50"/>
        </w:numPr>
        <w:tabs>
          <w:tab w:val="clear" w:pos="425"/>
        </w:tabs>
        <w:spacing w:afterLines="50" w:line="360" w:lineRule="auto"/>
        <w:ind w:left="1300" w:leftChars="398" w:hangingChars="193"/>
        <w:jc w:val="both"/>
        <w:rPr>
          <w:rFonts w:ascii="Tahoma" w:hAnsi="Tahoma" w:cs="Tahoma"/>
          <w:color w:val="000000"/>
          <w:lang w:val="id-ID"/>
        </w:rPr>
      </w:pPr>
      <w:r>
        <w:rPr>
          <w:rFonts w:ascii="Tahoma" w:hAnsi="Tahoma" w:cs="Tahoma"/>
          <w:color w:val="000000"/>
          <w:lang w:val="id-ID"/>
        </w:rPr>
        <w:t xml:space="preserve">Realisasi Nilai Evaluasi Akuntabilitas </w:t>
      </w:r>
      <w:r>
        <w:rPr>
          <w:rFonts w:ascii="Tahoma" w:hAnsi="Tahoma" w:cs="Tahoma"/>
          <w:color w:val="000000"/>
        </w:rPr>
        <w:t>K</w:t>
      </w:r>
      <w:r>
        <w:rPr>
          <w:rFonts w:ascii="Tahoma" w:hAnsi="Tahoma" w:cs="Tahoma"/>
          <w:color w:val="000000"/>
          <w:lang w:val="id-ID"/>
        </w:rPr>
        <w:t xml:space="preserve">inerja terealisasi A </w:t>
      </w:r>
      <w:r>
        <w:rPr>
          <w:rFonts w:ascii="Tahoma" w:hAnsi="Tahoma" w:cs="Tahoma"/>
          <w:color w:val="000000"/>
        </w:rPr>
        <w:t>sesuai target yang ditetapkan yaitu A</w:t>
      </w:r>
      <w:r>
        <w:rPr>
          <w:rFonts w:ascii="Tahoma" w:hAnsi="Tahoma" w:cs="Tahoma"/>
          <w:color w:val="000000"/>
          <w:lang w:val="id-ID"/>
        </w:rPr>
        <w:t xml:space="preserve"> dengan capaian </w:t>
      </w:r>
      <w:r>
        <w:rPr>
          <w:rFonts w:ascii="Tahoma" w:hAnsi="Tahoma" w:cs="Tahoma"/>
          <w:color w:val="000000"/>
        </w:rPr>
        <w:t>k</w:t>
      </w:r>
      <w:r>
        <w:rPr>
          <w:rFonts w:ascii="Tahoma" w:hAnsi="Tahoma" w:cs="Tahoma"/>
          <w:color w:val="000000"/>
          <w:lang w:val="id-ID"/>
        </w:rPr>
        <w:t>inerja sebesar 10</w:t>
      </w:r>
      <w:r>
        <w:rPr>
          <w:rFonts w:hint="default" w:ascii="Tahoma" w:hAnsi="Tahoma" w:cs="Tahoma"/>
          <w:color w:val="000000"/>
          <w:lang w:val="en-US"/>
        </w:rPr>
        <w:t>0</w:t>
      </w:r>
      <w:r>
        <w:rPr>
          <w:rFonts w:ascii="Tahoma" w:hAnsi="Tahoma" w:cs="Tahoma"/>
          <w:color w:val="000000"/>
          <w:lang w:val="id-ID"/>
        </w:rPr>
        <w:t>%</w:t>
      </w:r>
      <w:r>
        <w:rPr>
          <w:rFonts w:ascii="Tahoma" w:hAnsi="Tahoma" w:cs="Tahoma"/>
          <w:color w:val="000000"/>
        </w:rPr>
        <w:t>.</w:t>
      </w:r>
    </w:p>
    <w:p>
      <w:pPr>
        <w:numPr>
          <w:ilvl w:val="0"/>
          <w:numId w:val="49"/>
        </w:numPr>
        <w:tabs>
          <w:tab w:val="clear" w:pos="425"/>
        </w:tabs>
        <w:spacing w:after="0" w:line="360" w:lineRule="auto"/>
        <w:ind w:left="864" w:leftChars="200" w:hangingChars="193"/>
        <w:jc w:val="both"/>
        <w:rPr>
          <w:rFonts w:ascii="Tahoma" w:hAnsi="Tahoma" w:cs="Tahoma"/>
          <w:color w:val="000000"/>
          <w:lang w:val="id-ID"/>
        </w:rPr>
      </w:pPr>
      <w:r>
        <w:rPr>
          <w:rFonts w:ascii="Tahoma" w:hAnsi="Tahoma" w:cs="Tahoma"/>
          <w:color w:val="000000"/>
          <w:lang w:val="id-ID"/>
        </w:rPr>
        <w:t>Kinerja sasaran dimaksud</w:t>
      </w:r>
      <w:r>
        <w:rPr>
          <w:rFonts w:ascii="Tahoma" w:hAnsi="Tahoma" w:cs="Tahoma"/>
          <w:color w:val="000000"/>
        </w:rPr>
        <w:t xml:space="preserve"> adalah </w:t>
      </w:r>
      <w:r>
        <w:rPr>
          <w:rFonts w:ascii="Tahoma" w:hAnsi="Tahoma" w:cs="Tahoma"/>
          <w:color w:val="000000"/>
          <w:lang w:val="id-ID"/>
        </w:rPr>
        <w:t xml:space="preserve">pencapaian tujuan yang tertuang dalam Renstra </w:t>
      </w:r>
      <w:r>
        <w:rPr>
          <w:rFonts w:ascii="Tahoma" w:hAnsi="Tahoma" w:cs="Tahoma"/>
          <w:color w:val="000000"/>
        </w:rPr>
        <w:t xml:space="preserve">Badan Keuangan Daerah </w:t>
      </w:r>
      <w:r>
        <w:rPr>
          <w:rFonts w:ascii="Tahoma" w:hAnsi="Tahoma" w:cs="Tahoma"/>
          <w:color w:val="000000"/>
          <w:lang w:val="id-ID"/>
        </w:rPr>
        <w:t>yaitu:</w:t>
      </w:r>
    </w:p>
    <w:p>
      <w:pPr>
        <w:pStyle w:val="20"/>
        <w:numPr>
          <w:ilvl w:val="0"/>
          <w:numId w:val="51"/>
        </w:numPr>
        <w:tabs>
          <w:tab w:val="clear" w:pos="425"/>
          <w:tab w:val="clear" w:pos="1080"/>
        </w:tabs>
        <w:spacing w:line="360" w:lineRule="auto"/>
        <w:ind w:left="1298" w:leftChars="400" w:hanging="418" w:hangingChars="190"/>
        <w:jc w:val="both"/>
        <w:rPr>
          <w:rFonts w:ascii="Tahoma" w:hAnsi="Tahoma" w:cs="Tahoma"/>
          <w:b w:val="0"/>
          <w:bCs w:val="0"/>
          <w:color w:val="000000"/>
          <w:sz w:val="22"/>
          <w:szCs w:val="22"/>
          <w:lang w:val="id-ID"/>
        </w:rPr>
      </w:pPr>
      <w:r>
        <w:rPr>
          <w:rFonts w:ascii="Tahoma" w:hAnsi="Tahoma" w:cs="Tahoma"/>
          <w:b w:val="0"/>
          <w:bCs w:val="0"/>
          <w:color w:val="000000"/>
          <w:sz w:val="22"/>
          <w:szCs w:val="22"/>
        </w:rPr>
        <w:t>Meningkatnya transparansi dan akuntabilitas dalam penyelenggaraan pengelolaan keuangan daerah.</w:t>
      </w:r>
    </w:p>
    <w:p>
      <w:pPr>
        <w:pStyle w:val="20"/>
        <w:numPr>
          <w:ilvl w:val="0"/>
          <w:numId w:val="51"/>
        </w:numPr>
        <w:tabs>
          <w:tab w:val="clear" w:pos="425"/>
          <w:tab w:val="clear" w:pos="1080"/>
        </w:tabs>
        <w:spacing w:line="360" w:lineRule="auto"/>
        <w:ind w:left="1298" w:leftChars="400" w:hanging="418" w:hangingChars="190"/>
        <w:jc w:val="both"/>
        <w:rPr>
          <w:rFonts w:ascii="Tahoma" w:hAnsi="Tahoma" w:cs="Tahoma"/>
          <w:b w:val="0"/>
          <w:bCs w:val="0"/>
          <w:color w:val="000000"/>
          <w:sz w:val="22"/>
          <w:szCs w:val="22"/>
          <w:lang w:val="id-ID"/>
        </w:rPr>
      </w:pPr>
      <w:r>
        <w:rPr>
          <w:rFonts w:ascii="Tahoma" w:hAnsi="Tahoma" w:cs="Tahoma"/>
          <w:b w:val="0"/>
          <w:bCs w:val="0"/>
          <w:color w:val="000000"/>
          <w:sz w:val="22"/>
          <w:szCs w:val="22"/>
          <w:lang w:val="id-ID"/>
        </w:rPr>
        <w:t>Meningkat</w:t>
      </w:r>
      <w:r>
        <w:rPr>
          <w:rFonts w:ascii="Tahoma" w:hAnsi="Tahoma" w:cs="Tahoma"/>
          <w:b w:val="0"/>
          <w:bCs w:val="0"/>
          <w:color w:val="000000"/>
          <w:sz w:val="22"/>
          <w:szCs w:val="22"/>
        </w:rPr>
        <w:t>nyapendapatan daerah</w:t>
      </w:r>
      <w:r>
        <w:rPr>
          <w:rFonts w:ascii="Tahoma" w:hAnsi="Tahoma" w:cs="Tahoma"/>
          <w:b w:val="0"/>
          <w:bCs w:val="0"/>
          <w:color w:val="000000"/>
          <w:sz w:val="22"/>
          <w:szCs w:val="22"/>
          <w:lang w:val="id-ID"/>
        </w:rPr>
        <w:t>.</w:t>
      </w:r>
    </w:p>
    <w:p>
      <w:pPr>
        <w:pStyle w:val="20"/>
        <w:numPr>
          <w:ilvl w:val="0"/>
          <w:numId w:val="51"/>
        </w:numPr>
        <w:tabs>
          <w:tab w:val="clear" w:pos="425"/>
          <w:tab w:val="clear" w:pos="1080"/>
        </w:tabs>
        <w:spacing w:line="360" w:lineRule="auto"/>
        <w:ind w:left="1298" w:leftChars="400" w:hanging="418" w:hangingChars="190"/>
        <w:jc w:val="both"/>
        <w:rPr>
          <w:rFonts w:ascii="Tahoma" w:hAnsi="Tahoma" w:cs="Tahoma"/>
          <w:b w:val="0"/>
          <w:bCs w:val="0"/>
          <w:color w:val="000000"/>
          <w:sz w:val="22"/>
          <w:szCs w:val="22"/>
          <w:lang w:val="id-ID"/>
        </w:rPr>
      </w:pPr>
      <w:r>
        <w:rPr>
          <w:rFonts w:ascii="Tahoma" w:hAnsi="Tahoma" w:cs="Tahoma"/>
          <w:b w:val="0"/>
          <w:bCs w:val="0"/>
          <w:color w:val="000000"/>
          <w:sz w:val="22"/>
          <w:szCs w:val="22"/>
          <w:lang w:val="id-ID"/>
        </w:rPr>
        <w:t xml:space="preserve">Meningkatnya </w:t>
      </w:r>
      <w:r>
        <w:rPr>
          <w:rFonts w:ascii="Tahoma" w:hAnsi="Tahoma" w:cs="Tahoma"/>
          <w:b w:val="0"/>
          <w:bCs w:val="0"/>
          <w:color w:val="000000"/>
          <w:sz w:val="22"/>
          <w:szCs w:val="22"/>
        </w:rPr>
        <w:t>kinerja organisasi.</w:t>
      </w:r>
    </w:p>
    <w:p>
      <w:pPr>
        <w:numPr>
          <w:ilvl w:val="0"/>
          <w:numId w:val="49"/>
        </w:numPr>
        <w:tabs>
          <w:tab w:val="clear" w:pos="425"/>
        </w:tabs>
        <w:spacing w:before="120" w:after="0" w:line="360" w:lineRule="auto"/>
        <w:ind w:left="880" w:hanging="440"/>
        <w:jc w:val="both"/>
        <w:rPr>
          <w:rFonts w:ascii="Tahoma" w:hAnsi="Tahoma" w:cs="Tahoma"/>
          <w:color w:val="000000"/>
          <w:lang w:val="id-ID"/>
        </w:rPr>
      </w:pPr>
      <w:r>
        <w:rPr>
          <w:rFonts w:ascii="Tahoma" w:hAnsi="Tahoma" w:cs="Tahoma"/>
          <w:color w:val="000000"/>
          <w:lang w:val="id-ID"/>
        </w:rPr>
        <w:t>Pencapaian kinerja sasaran juga diharapkan dapat memberikan kont</w:t>
      </w:r>
      <w:r>
        <w:rPr>
          <w:rFonts w:ascii="Tahoma" w:hAnsi="Tahoma" w:cs="Tahoma"/>
          <w:color w:val="000000"/>
        </w:rPr>
        <w:t>ri</w:t>
      </w:r>
      <w:r>
        <w:rPr>
          <w:rFonts w:ascii="Tahoma" w:hAnsi="Tahoma" w:cs="Tahoma"/>
          <w:color w:val="000000"/>
          <w:lang w:val="id-ID"/>
        </w:rPr>
        <w:t xml:space="preserve">busi terhadap Target Kinerja Pemerintah Provinsi yang dibebankan kepada </w:t>
      </w:r>
      <w:r>
        <w:rPr>
          <w:rFonts w:ascii="Tahoma" w:hAnsi="Tahoma" w:cs="Tahoma"/>
          <w:color w:val="000000"/>
        </w:rPr>
        <w:t xml:space="preserve">Badan Keuangan Daerah </w:t>
      </w:r>
      <w:r>
        <w:rPr>
          <w:rFonts w:ascii="Tahoma" w:hAnsi="Tahoma" w:cs="Tahoma"/>
          <w:color w:val="000000"/>
          <w:lang w:val="id-ID"/>
        </w:rPr>
        <w:t>Provinsi Sumatera Barat yaitu Meningkatnya Status Opini BPK Terhadap Laporan Keuangan Pemerintah Provinsi yang pada tahun 2020 ini ditargetkan memperoleh op</w:t>
      </w:r>
      <w:r>
        <w:rPr>
          <w:rFonts w:ascii="Tahoma" w:hAnsi="Tahoma" w:cs="Tahoma"/>
          <w:color w:val="000000"/>
        </w:rPr>
        <w:t>i</w:t>
      </w:r>
      <w:r>
        <w:rPr>
          <w:rFonts w:ascii="Tahoma" w:hAnsi="Tahoma" w:cs="Tahoma"/>
          <w:color w:val="000000"/>
          <w:lang w:val="id-ID"/>
        </w:rPr>
        <w:t>ni Wajar Tanpa Pengecualian.</w:t>
      </w:r>
    </w:p>
    <w:p>
      <w:pPr>
        <w:spacing w:before="120" w:after="0" w:line="360" w:lineRule="auto"/>
        <w:ind w:left="440"/>
        <w:jc w:val="both"/>
        <w:rPr>
          <w:rFonts w:ascii="Tahoma" w:hAnsi="Tahoma" w:cs="Tahoma"/>
          <w:color w:val="000000"/>
          <w:lang w:val="id-ID"/>
        </w:rPr>
      </w:pPr>
    </w:p>
    <w:p>
      <w:pPr>
        <w:numPr>
          <w:ilvl w:val="0"/>
          <w:numId w:val="48"/>
        </w:numPr>
        <w:spacing w:before="180" w:afterLines="100" w:line="360" w:lineRule="auto"/>
        <w:jc w:val="both"/>
        <w:rPr>
          <w:rFonts w:ascii="Tahoma" w:hAnsi="Tahoma" w:cs="Tahoma"/>
          <w:b/>
          <w:bCs/>
          <w:color w:val="000000"/>
          <w:sz w:val="28"/>
          <w:szCs w:val="28"/>
        </w:rPr>
      </w:pPr>
      <w:r>
        <w:rPr>
          <w:rFonts w:hint="default" w:ascii="Tahoma" w:hAnsi="Tahoma" w:cs="Tahoma"/>
          <w:b/>
          <w:bCs/>
          <w:color w:val="000000"/>
          <w:sz w:val="28"/>
          <w:szCs w:val="28"/>
          <w:lang w:val="en-US"/>
        </w:rPr>
        <w:t xml:space="preserve"> </w:t>
      </w:r>
      <w:r>
        <w:rPr>
          <w:rFonts w:ascii="Tahoma" w:hAnsi="Tahoma" w:cs="Tahoma"/>
          <w:b/>
          <w:bCs/>
          <w:color w:val="000000"/>
          <w:sz w:val="28"/>
          <w:szCs w:val="28"/>
        </w:rPr>
        <w:t>LANGKAH-LANGKAH DI MASA MENDATANG</w:t>
      </w:r>
    </w:p>
    <w:p>
      <w:pPr>
        <w:spacing w:after="0" w:line="360" w:lineRule="auto"/>
        <w:ind w:left="440" w:leftChars="200"/>
        <w:jc w:val="both"/>
        <w:rPr>
          <w:rFonts w:ascii="Tahoma" w:hAnsi="Tahoma" w:cs="Tahoma"/>
          <w:color w:val="000000"/>
        </w:rPr>
      </w:pPr>
      <w:r>
        <w:rPr>
          <w:rFonts w:ascii="Tahoma" w:hAnsi="Tahoma" w:cs="Tahoma"/>
          <w:color w:val="000000"/>
        </w:rPr>
        <w:t>Adapun langkah-langkah yang akan dilakukan oleh Badan Keuangan Daerah Provinsi Sumatera Barat untuk meningkatkan kinerja organisasi dimasa mendatang adalah sebagai berikut:</w:t>
      </w:r>
    </w:p>
    <w:p>
      <w:pPr>
        <w:numPr>
          <w:ilvl w:val="0"/>
          <w:numId w:val="52"/>
        </w:numPr>
        <w:spacing w:beforeLines="50" w:afterLines="50" w:line="360" w:lineRule="auto"/>
        <w:ind w:left="880" w:leftChars="200" w:hanging="440" w:hangingChars="200"/>
        <w:jc w:val="both"/>
        <w:rPr>
          <w:rFonts w:ascii="Tahoma" w:hAnsi="Tahoma" w:cs="Tahoma"/>
          <w:color w:val="000000"/>
          <w:lang w:val="id-ID"/>
        </w:rPr>
      </w:pPr>
      <w:r>
        <w:rPr>
          <w:rFonts w:hint="default" w:ascii="Tahoma" w:hAnsi="Tahoma" w:cs="Tahoma"/>
          <w:color w:val="000000"/>
          <w:lang w:val="en-US"/>
        </w:rPr>
        <w:t xml:space="preserve">   </w:t>
      </w:r>
      <w:r>
        <w:rPr>
          <w:rFonts w:ascii="Tahoma" w:hAnsi="Tahoma" w:cs="Tahoma"/>
          <w:color w:val="000000"/>
          <w:lang w:val="id-ID"/>
        </w:rPr>
        <w:t>Perlunya optimalisasi pencapaian kinerja program dan kegiatan pada Program Peningkatan dan Pengembangan Pengelolaan Keuangan Daerah</w:t>
      </w:r>
      <w:r>
        <w:rPr>
          <w:rFonts w:ascii="Tahoma" w:hAnsi="Tahoma" w:cs="Tahoma"/>
          <w:color w:val="000000"/>
        </w:rPr>
        <w:t>, yang salah satunya dilakukan dengan perencanaan yang baik untuk</w:t>
      </w:r>
      <w:r>
        <w:rPr>
          <w:rFonts w:ascii="Tahoma" w:hAnsi="Tahoma" w:cs="Tahoma"/>
          <w:color w:val="000000"/>
          <w:lang w:val="id-ID"/>
        </w:rPr>
        <w:t xml:space="preserve">menghindari terjadinya kesalahan penganggaran yang mengakibatkan tidak terealisirnya anggaran yang sudah disediakan, </w:t>
      </w:r>
      <w:r>
        <w:rPr>
          <w:rFonts w:ascii="Tahoma" w:hAnsi="Tahoma" w:cs="Tahoma"/>
          <w:color w:val="000000"/>
        </w:rPr>
        <w:t xml:space="preserve">serta </w:t>
      </w:r>
      <w:r>
        <w:rPr>
          <w:rFonts w:ascii="Tahoma" w:hAnsi="Tahoma" w:cs="Tahoma"/>
          <w:color w:val="000000"/>
          <w:lang w:val="id-ID"/>
        </w:rPr>
        <w:t xml:space="preserve">penatalaksanaan yang harus sesuai dengan jadwal </w:t>
      </w:r>
      <w:r>
        <w:rPr>
          <w:rFonts w:ascii="Tahoma" w:hAnsi="Tahoma" w:cs="Tahoma"/>
          <w:color w:val="000000"/>
        </w:rPr>
        <w:t xml:space="preserve">terutama pada kegiatan yang </w:t>
      </w:r>
      <w:r>
        <w:rPr>
          <w:rFonts w:ascii="Tahoma" w:hAnsi="Tahoma" w:cs="Tahoma"/>
          <w:color w:val="000000"/>
          <w:lang w:val="id-ID"/>
        </w:rPr>
        <w:t>pelaksanaan</w:t>
      </w:r>
      <w:r>
        <w:rPr>
          <w:rFonts w:ascii="Tahoma" w:hAnsi="Tahoma" w:cs="Tahoma"/>
          <w:color w:val="000000"/>
        </w:rPr>
        <w:t>n</w:t>
      </w:r>
      <w:r>
        <w:rPr>
          <w:rFonts w:ascii="Tahoma" w:hAnsi="Tahoma" w:cs="Tahoma"/>
          <w:color w:val="000000"/>
          <w:lang w:val="id-ID"/>
        </w:rPr>
        <w:t>ya berkaitan dangan pihak lain.</w:t>
      </w:r>
    </w:p>
    <w:p>
      <w:pPr>
        <w:numPr>
          <w:ilvl w:val="0"/>
          <w:numId w:val="52"/>
        </w:numPr>
        <w:spacing w:after="0" w:line="360" w:lineRule="auto"/>
        <w:ind w:left="880" w:leftChars="200" w:hanging="440" w:hangingChars="200"/>
        <w:jc w:val="both"/>
        <w:rPr>
          <w:rFonts w:ascii="Tahoma" w:hAnsi="Tahoma" w:cs="Tahoma"/>
          <w:color w:val="000000"/>
          <w:lang w:val="id-ID"/>
        </w:rPr>
      </w:pPr>
      <w:r>
        <w:rPr>
          <w:rFonts w:hint="default" w:ascii="Tahoma" w:hAnsi="Tahoma" w:cs="Tahoma"/>
          <w:color w:val="000000"/>
          <w:lang w:val="en-US"/>
        </w:rPr>
        <w:t xml:space="preserve">   </w:t>
      </w:r>
      <w:r>
        <w:rPr>
          <w:rFonts w:ascii="Tahoma" w:hAnsi="Tahoma" w:cs="Tahoma"/>
          <w:color w:val="000000"/>
          <w:lang w:val="id-ID"/>
        </w:rPr>
        <w:t xml:space="preserve">Upaya-upaya peningkatan kinerja dalam rangka pelaksanaan tugas pokok dan fungsi </w:t>
      </w:r>
      <w:r>
        <w:rPr>
          <w:rFonts w:ascii="Tahoma" w:hAnsi="Tahoma" w:cs="Tahoma"/>
          <w:color w:val="000000"/>
        </w:rPr>
        <w:t xml:space="preserve">Badan Keuangan Daerah </w:t>
      </w:r>
      <w:r>
        <w:rPr>
          <w:rFonts w:ascii="Tahoma" w:hAnsi="Tahoma" w:cs="Tahoma"/>
          <w:color w:val="000000"/>
          <w:lang w:val="id-ID"/>
        </w:rPr>
        <w:t>dapat  dilakukan antara lain melalui:</w:t>
      </w:r>
    </w:p>
    <w:p>
      <w:pPr>
        <w:numPr>
          <w:ilvl w:val="0"/>
          <w:numId w:val="53"/>
        </w:numPr>
        <w:tabs>
          <w:tab w:val="clear" w:pos="425"/>
        </w:tabs>
        <w:spacing w:after="0" w:line="360" w:lineRule="auto"/>
        <w:ind w:left="1305"/>
        <w:jc w:val="both"/>
        <w:rPr>
          <w:rFonts w:ascii="Tahoma" w:hAnsi="Tahoma" w:cs="Tahoma"/>
          <w:color w:val="000000"/>
          <w:lang w:val="id-ID"/>
        </w:rPr>
      </w:pPr>
      <w:r>
        <w:rPr>
          <w:rFonts w:ascii="Tahoma" w:hAnsi="Tahoma" w:cs="Tahoma" w:eastAsiaTheme="minorEastAsia"/>
          <w:lang w:val="id-ID"/>
        </w:rPr>
        <w:t>P</w:t>
      </w:r>
      <w:r>
        <w:rPr>
          <w:rFonts w:ascii="Tahoma" w:hAnsi="Tahoma" w:cs="Tahoma" w:eastAsiaTheme="minorEastAsia"/>
        </w:rPr>
        <w:t>enyesuaian regulasi pengelolaan keuangan daerah dan kebijakan akuntansi karena adanya perubahan regulasi yang dilakukan oleh pemerintah</w:t>
      </w:r>
    </w:p>
    <w:p>
      <w:pPr>
        <w:keepNext w:val="0"/>
        <w:keepLines w:val="0"/>
        <w:pageBreakBefore w:val="0"/>
        <w:widowControl/>
        <w:numPr>
          <w:ilvl w:val="0"/>
          <w:numId w:val="53"/>
        </w:numPr>
        <w:tabs>
          <w:tab w:val="clear" w:pos="425"/>
        </w:tabs>
        <w:kinsoku/>
        <w:wordWrap/>
        <w:overflowPunct/>
        <w:topLinePunct w:val="0"/>
        <w:autoSpaceDE/>
        <w:autoSpaceDN/>
        <w:bidi w:val="0"/>
        <w:adjustRightInd/>
        <w:snapToGrid/>
        <w:spacing w:beforeAutospacing="0" w:after="0" w:line="360" w:lineRule="auto"/>
        <w:ind w:left="1305" w:hanging="425"/>
        <w:jc w:val="both"/>
        <w:textAlignment w:val="auto"/>
        <w:rPr>
          <w:rFonts w:ascii="Tahoma" w:hAnsi="Tahoma" w:cs="Tahoma" w:eastAsiaTheme="minorEastAsia"/>
        </w:rPr>
      </w:pPr>
      <w:r>
        <w:rPr>
          <w:rFonts w:ascii="Tahoma" w:hAnsi="Tahoma" w:cs="Tahoma" w:eastAsiaTheme="minorEastAsia"/>
          <w:lang w:val="id-ID"/>
        </w:rPr>
        <w:t>P</w:t>
      </w:r>
      <w:r>
        <w:rPr>
          <w:rFonts w:ascii="Tahoma" w:hAnsi="Tahoma" w:cs="Tahoma" w:eastAsiaTheme="minorEastAsia"/>
        </w:rPr>
        <w:t>eningkatan kualitas sumber daya manusia secara berkelanjutan yang berdampak pada peningkatan kualitas perencanaan, penganggaran, penatausahaan, dan pelaporan keuangan.</w:t>
      </w:r>
    </w:p>
    <w:p>
      <w:pPr>
        <w:keepNext w:val="0"/>
        <w:keepLines w:val="0"/>
        <w:pageBreakBefore w:val="0"/>
        <w:widowControl/>
        <w:numPr>
          <w:ilvl w:val="0"/>
          <w:numId w:val="53"/>
        </w:numPr>
        <w:tabs>
          <w:tab w:val="clear" w:pos="425"/>
        </w:tabs>
        <w:kinsoku/>
        <w:wordWrap/>
        <w:overflowPunct/>
        <w:topLinePunct w:val="0"/>
        <w:autoSpaceDE/>
        <w:autoSpaceDN/>
        <w:bidi w:val="0"/>
        <w:adjustRightInd/>
        <w:snapToGrid/>
        <w:spacing w:beforeAutospacing="0" w:after="0" w:line="360" w:lineRule="auto"/>
        <w:ind w:left="1304" w:hanging="425"/>
        <w:jc w:val="both"/>
        <w:textAlignment w:val="auto"/>
        <w:rPr>
          <w:rFonts w:ascii="Tahoma" w:hAnsi="Tahoma" w:cs="Tahoma" w:eastAsiaTheme="minorEastAsia"/>
        </w:rPr>
      </w:pPr>
      <w:r>
        <w:rPr>
          <w:rFonts w:ascii="Tahoma" w:hAnsi="Tahoma" w:cs="Tahoma" w:eastAsiaTheme="minorEastAsia"/>
        </w:rPr>
        <w:t>Adanya dukungan aplikasi yang terintegrasi sejak penganggaran, penatausahaan, dan pertanggungjawaban yang semakin baik sehingga laporan dapat diselesaikan tepat waktu dan meminimalkan terjadi kesalahan-kesalahan baik pada tahap penganggaran, penatausahaan, dan pertanggungjawaban.</w:t>
      </w:r>
    </w:p>
    <w:p>
      <w:pPr>
        <w:keepNext w:val="0"/>
        <w:keepLines w:val="0"/>
        <w:pageBreakBefore w:val="0"/>
        <w:widowControl/>
        <w:numPr>
          <w:ilvl w:val="0"/>
          <w:numId w:val="52"/>
        </w:numPr>
        <w:kinsoku/>
        <w:wordWrap/>
        <w:overflowPunct/>
        <w:topLinePunct w:val="0"/>
        <w:autoSpaceDE/>
        <w:autoSpaceDN/>
        <w:bidi w:val="0"/>
        <w:adjustRightInd/>
        <w:snapToGrid/>
        <w:spacing w:before="181" w:beforeLines="50" w:beforeAutospacing="0" w:after="0" w:line="360" w:lineRule="auto"/>
        <w:ind w:left="880" w:leftChars="200" w:hanging="440" w:hangingChars="200"/>
        <w:jc w:val="both"/>
        <w:textAlignment w:val="auto"/>
        <w:rPr>
          <w:rFonts w:ascii="Tahoma" w:hAnsi="Tahoma" w:eastAsia="Times New Roman" w:cs="Tahoma"/>
          <w:bCs/>
          <w:lang w:val="id-ID" w:eastAsia="id-ID"/>
        </w:rPr>
      </w:pPr>
      <w:r>
        <w:rPr>
          <w:rFonts w:hint="default" w:ascii="Tahoma" w:hAnsi="Tahoma" w:eastAsia="Times New Roman" w:cs="Tahoma"/>
          <w:bCs/>
          <w:lang w:val="en-US" w:eastAsia="id-ID"/>
        </w:rPr>
        <w:t xml:space="preserve">   </w:t>
      </w:r>
      <w:r>
        <w:rPr>
          <w:rFonts w:ascii="Tahoma" w:hAnsi="Tahoma" w:eastAsia="Times New Roman" w:cs="Tahoma"/>
          <w:bCs/>
          <w:lang w:eastAsia="id-ID"/>
        </w:rPr>
        <w:t xml:space="preserve">Melaksanakan </w:t>
      </w:r>
      <w:r>
        <w:rPr>
          <w:rFonts w:ascii="Tahoma" w:hAnsi="Tahoma" w:eastAsia="Times New Roman" w:cs="Tahoma"/>
          <w:bCs/>
          <w:lang w:val="id-ID" w:eastAsia="id-ID"/>
        </w:rPr>
        <w:t>inovasi-inovasi, baik dalam hal penagihan pajak daerah maupun pelayanan kepada wajib pajak dengan melihat karakteristik dan kultur masyarakat wajib pajak, serta memperhatikan keterbatasan Sumber Daya Manusia Aparatur yang ada</w:t>
      </w:r>
      <w:r>
        <w:rPr>
          <w:rFonts w:ascii="Tahoma" w:hAnsi="Tahoma" w:eastAsia="Times New Roman" w:cs="Tahoma"/>
          <w:bCs/>
          <w:lang w:eastAsia="id-ID"/>
        </w:rPr>
        <w:t>.</w:t>
      </w:r>
    </w:p>
    <w:sectPr>
      <w:headerReference r:id="rId19" w:type="first"/>
      <w:footerReference r:id="rId21" w:type="first"/>
      <w:headerReference r:id="rId18" w:type="default"/>
      <w:footerReference r:id="rId20" w:type="default"/>
      <w:pgSz w:w="11907" w:h="16840"/>
      <w:pgMar w:top="1701" w:right="1134" w:bottom="1701" w:left="1701" w:header="720" w:footer="720" w:gutter="0"/>
      <w:pgBorders>
        <w:top w:val="none" w:sz="0" w:space="0"/>
        <w:left w:val="none" w:sz="0" w:space="0"/>
        <w:bottom w:val="none" w:sz="0" w:space="0"/>
        <w:right w:val="none" w:sz="0" w:space="0"/>
      </w:pgBorders>
      <w:cols w:space="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MyriadPro-BoldSemiCnIt">
    <w:altName w:val="Segoe Print"/>
    <w:panose1 w:val="00000000000000000000"/>
    <w:charset w:val="00"/>
    <w:family w:val="swiss"/>
    <w:pitch w:val="default"/>
    <w:sig w:usb0="00000000" w:usb1="00000000" w:usb2="00000000" w:usb3="00000000" w:csb0="00000001" w:csb1="00000000"/>
  </w:font>
  <w:font w:name="MyriadPro-Light">
    <w:altName w:val="Segoe Print"/>
    <w:panose1 w:val="00000000000000000000"/>
    <w:charset w:val="00"/>
    <w:family w:val="swiss"/>
    <w:pitch w:val="default"/>
    <w:sig w:usb0="00000000" w:usb1="00000000" w:usb2="00000000" w:usb3="00000000" w:csb0="00000001" w:csb1="00000000"/>
  </w:font>
  <w:font w:name="Batang">
    <w:altName w:val="Malgun Gothic"/>
    <w:panose1 w:val="02030600000101010101"/>
    <w:charset w:val="81"/>
    <w:family w:val="roman"/>
    <w:pitch w:val="default"/>
    <w:sig w:usb0="00000000" w:usb1="00000000" w:usb2="00000030" w:usb3="00000000" w:csb0="0008009F" w:csb1="00000000"/>
  </w:font>
  <w:font w:name="MS Reference Sans Serif">
    <w:panose1 w:val="020B0604030504040204"/>
    <w:charset w:val="00"/>
    <w:family w:val="swiss"/>
    <w:pitch w:val="default"/>
    <w:sig w:usb0="00000287" w:usb1="00000000" w:usb2="00000000" w:usb3="00000000" w:csb0="2000019F" w:csb1="00000000"/>
  </w:font>
  <w:font w:name="Book Antiqua">
    <w:panose1 w:val="02040602050305030304"/>
    <w:charset w:val="00"/>
    <w:family w:val="roman"/>
    <w:pitch w:val="default"/>
    <w:sig w:usb0="00000287" w:usb1="00000000" w:usb2="00000000" w:usb3="00000000" w:csb0="2000009F" w:csb1="DFD70000"/>
  </w:font>
  <w:font w:name="MyriadPro-SemiCn">
    <w:altName w:val="Segoe Print"/>
    <w:panose1 w:val="00000000000000000000"/>
    <w:charset w:val="00"/>
    <w:family w:val="swiss"/>
    <w:pitch w:val="default"/>
    <w:sig w:usb0="00000000" w:usb1="00000000" w:usb2="00000000" w:usb3="00000000" w:csb0="00000001" w:csb1="00000000"/>
  </w:font>
  <w:font w:name="MyriadPro-BoldCond">
    <w:altName w:val="Segoe Print"/>
    <w:panose1 w:val="00000000000000000000"/>
    <w:charset w:val="00"/>
    <w:family w:val="swiss"/>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MS Mincho">
    <w:panose1 w:val="02020609040205080304"/>
    <w:charset w:val="80"/>
    <w:family w:val="modern"/>
    <w:pitch w:val="default"/>
    <w:sig w:usb0="A00002BF" w:usb1="68C7FCFB" w:usb2="00000010" w:usb3="00000000" w:csb0="4002009F" w:csb1="DFD70000"/>
  </w:font>
  <w:font w:name="Arial Narrow">
    <w:panose1 w:val="020B0606020202030204"/>
    <w:charset w:val="00"/>
    <w:family w:val="swiss"/>
    <w:pitch w:val="default"/>
    <w:sig w:usb0="00000287" w:usb1="00000800" w:usb2="00000000" w:usb3="00000000" w:csb0="2000009F" w:csb1="DFD7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 w:name="Malgun Gothic Semilight">
    <w:panose1 w:val="020B0502040204020203"/>
    <w:charset w:val="86"/>
    <w:family w:val="auto"/>
    <w:pitch w:val="default"/>
    <w:sig w:usb0="900002AF" w:usb1="01D77CFB" w:usb2="00000012" w:usb3="00000000" w:csb0="203E01BD" w:csb1="D7FF0000"/>
  </w:font>
  <w:font w:name="Microsoft YaHei">
    <w:panose1 w:val="020B0503020204020204"/>
    <w:charset w:val="86"/>
    <w:family w:val="auto"/>
    <w:pitch w:val="default"/>
    <w:sig w:usb0="80000287" w:usb1="28CF3C52" w:usb2="00000016" w:usb3="00000000" w:csb0="0004001F" w:csb1="00000000"/>
  </w:font>
  <w:font w:name="NSimSun">
    <w:panose1 w:val="02010609030101010101"/>
    <w:charset w:val="86"/>
    <w:family w:val="auto"/>
    <w:pitch w:val="default"/>
    <w:sig w:usb0="00000003" w:usb1="288F0000" w:usb2="00000006" w:usb3="00000000" w:csb0="00040001" w:csb1="00000000"/>
  </w:font>
  <w:font w:name="Microsoft JhengHei UI Light">
    <w:panose1 w:val="020B0304030504040204"/>
    <w:charset w:val="88"/>
    <w:family w:val="auto"/>
    <w:pitch w:val="default"/>
    <w:sig w:usb0="8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7"/>
      <w:tblW w:w="5000" w:type="pct"/>
      <w:tblInd w:w="0" w:type="dxa"/>
      <w:tblLayout w:type="autofit"/>
      <w:tblCellMar>
        <w:top w:w="72" w:type="dxa"/>
        <w:left w:w="115" w:type="dxa"/>
        <w:bottom w:w="72" w:type="dxa"/>
        <w:right w:w="115" w:type="dxa"/>
      </w:tblCellMar>
    </w:tblPr>
    <w:tblGrid>
      <w:gridCol w:w="930"/>
      <w:gridCol w:w="8371"/>
    </w:tblGrid>
    <w:tr>
      <w:tblPrEx>
        <w:tblCellMar>
          <w:top w:w="72" w:type="dxa"/>
          <w:left w:w="115" w:type="dxa"/>
          <w:bottom w:w="72" w:type="dxa"/>
          <w:right w:w="115" w:type="dxa"/>
        </w:tblCellMar>
      </w:tblPrEx>
      <w:tc>
        <w:tcPr>
          <w:tcW w:w="500" w:type="pct"/>
          <w:tcBorders>
            <w:top w:val="single" w:color="943634" w:sz="4" w:space="0"/>
          </w:tcBorders>
          <w:shd w:val="clear" w:color="auto" w:fill="943634"/>
        </w:tcPr>
        <w:p>
          <w:pPr>
            <w:pStyle w:val="13"/>
            <w:jc w:val="right"/>
            <w:rPr>
              <w:b/>
              <w:color w:val="FFFFFF"/>
            </w:rPr>
          </w:pPr>
        </w:p>
      </w:tc>
      <w:tc>
        <w:tcPr>
          <w:tcW w:w="4500" w:type="pct"/>
          <w:tcBorders>
            <w:top w:val="single" w:color="auto" w:sz="4" w:space="0"/>
          </w:tcBorders>
        </w:tcPr>
        <w:p>
          <w:pPr>
            <w:pStyle w:val="13"/>
            <w:spacing w:after="0" w:line="240" w:lineRule="auto"/>
            <w:rPr>
              <w:lang w:val="id-ID"/>
            </w:rPr>
          </w:pPr>
          <w:r>
            <w:t>201</w:t>
          </w:r>
          <w:r>
            <w:rPr>
              <w:lang w:val="id-ID"/>
            </w:rPr>
            <w:t>9</w:t>
          </w:r>
          <w:r>
            <w:t xml:space="preserve"> | </w:t>
          </w:r>
          <w:r>
            <w:rPr>
              <w:lang w:val="id-ID"/>
            </w:rPr>
            <w:t>BADAN KEUANGAN DAERAH PROVINSI SUMATERA BARAT</w:t>
          </w:r>
        </w:p>
        <w:p>
          <w:pPr>
            <w:pStyle w:val="13"/>
            <w:spacing w:after="0" w:line="240" w:lineRule="auto"/>
            <w:rPr>
              <w:lang w:val="id-ID"/>
            </w:rPr>
          </w:pPr>
        </w:p>
      </w:tc>
    </w:tr>
  </w:tbl>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7"/>
      <w:tblW w:w="5000" w:type="pct"/>
      <w:tblInd w:w="0" w:type="dxa"/>
      <w:tblLayout w:type="autofit"/>
      <w:tblCellMar>
        <w:top w:w="72" w:type="dxa"/>
        <w:left w:w="115" w:type="dxa"/>
        <w:bottom w:w="72" w:type="dxa"/>
        <w:right w:w="115" w:type="dxa"/>
      </w:tblCellMar>
    </w:tblPr>
    <w:tblGrid>
      <w:gridCol w:w="930"/>
      <w:gridCol w:w="8372"/>
    </w:tblGrid>
    <w:tr>
      <w:tblPrEx>
        <w:tblCellMar>
          <w:top w:w="72" w:type="dxa"/>
          <w:left w:w="115" w:type="dxa"/>
          <w:bottom w:w="72" w:type="dxa"/>
          <w:right w:w="115" w:type="dxa"/>
        </w:tblCellMar>
      </w:tblPrEx>
      <w:tc>
        <w:tcPr>
          <w:tcW w:w="500" w:type="pct"/>
          <w:tcBorders>
            <w:top w:val="single" w:color="943634" w:sz="4" w:space="0"/>
          </w:tcBorders>
          <w:shd w:val="clear" w:color="auto" w:fill="943634"/>
        </w:tcPr>
        <w:p>
          <w:pPr>
            <w:pStyle w:val="13"/>
            <w:jc w:val="right"/>
            <w:rPr>
              <w:b/>
              <w:color w:val="FFFFFF"/>
            </w:rP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9" name="Text Box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jc w:val="right"/>
                                </w:pPr>
                                <w:r>
                                  <w:fldChar w:fldCharType="begin"/>
                                </w:r>
                                <w:r>
                                  <w:instrText xml:space="preserve"> PAGE   \* MERGEFORMAT </w:instrText>
                                </w:r>
                                <w:r>
                                  <w:fldChar w:fldCharType="separate"/>
                                </w:r>
                                <w:r>
                                  <w:rPr>
                                    <w:color w:val="FFFFFF"/>
                                  </w:rPr>
                                  <w:t>xi</w:t>
                                </w:r>
                                <w:r>
                                  <w:rPr>
                                    <w:color w:val="FFFFFF"/>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Text Box 118"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vL+AkqAgAAcgQAAA4AAAAAAAAAAQAgAAAAHwEAAGRycy9lMm9Eb2MueG1sUEsFBgAAAAAGAAYA&#10;WQEAALsFAAAAAA==&#10;">
                    <v:fill on="f" focussize="0,0"/>
                    <v:stroke on="f" weight="0.5pt"/>
                    <v:imagedata o:title=""/>
                    <o:lock v:ext="edit" aspectratio="f"/>
                    <v:textbox inset="0mm,0mm,0mm,0mm" style="mso-fit-shape-to-text:t;">
                      <w:txbxContent>
                        <w:p>
                          <w:pPr>
                            <w:pStyle w:val="13"/>
                            <w:jc w:val="right"/>
                          </w:pPr>
                          <w:r>
                            <w:fldChar w:fldCharType="begin"/>
                          </w:r>
                          <w:r>
                            <w:instrText xml:space="preserve"> PAGE   \* MERGEFORMAT </w:instrText>
                          </w:r>
                          <w:r>
                            <w:fldChar w:fldCharType="separate"/>
                          </w:r>
                          <w:r>
                            <w:rPr>
                              <w:color w:val="FFFFFF"/>
                            </w:rPr>
                            <w:t>xi</w:t>
                          </w:r>
                          <w:r>
                            <w:rPr>
                              <w:color w:val="FFFFFF"/>
                            </w:rPr>
                            <w:fldChar w:fldCharType="end"/>
                          </w:r>
                        </w:p>
                      </w:txbxContent>
                    </v:textbox>
                  </v:shape>
                </w:pict>
              </mc:Fallback>
            </mc:AlternateContent>
          </w:r>
        </w:p>
      </w:tc>
      <w:tc>
        <w:tcPr>
          <w:tcW w:w="4500" w:type="pct"/>
          <w:tcBorders>
            <w:top w:val="single" w:color="auto" w:sz="4" w:space="0"/>
          </w:tcBorders>
        </w:tcPr>
        <w:p>
          <w:pPr>
            <w:pStyle w:val="13"/>
            <w:spacing w:after="0" w:line="240" w:lineRule="auto"/>
            <w:rPr>
              <w:lang w:val="id-ID"/>
            </w:rPr>
          </w:pPr>
          <w:r>
            <w:t xml:space="preserve">2020 | LAKIP </w:t>
          </w:r>
          <w:r>
            <w:rPr>
              <w:lang w:val="id-ID"/>
            </w:rPr>
            <w:t>BADAN KEUANGAN DAERAH PROVINSI SUMATERA BARAT</w:t>
          </w:r>
        </w:p>
        <w:p>
          <w:pPr>
            <w:pStyle w:val="13"/>
            <w:spacing w:after="0" w:line="240" w:lineRule="auto"/>
            <w:rPr>
              <w:lang w:val="id-ID"/>
            </w:rPr>
          </w:pPr>
        </w:p>
      </w:tc>
    </w:tr>
  </w:tbl>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7"/>
      <w:tblW w:w="9553" w:type="pct"/>
      <w:tblInd w:w="0" w:type="dxa"/>
      <w:tblLayout w:type="autofit"/>
      <w:tblCellMar>
        <w:top w:w="72" w:type="dxa"/>
        <w:left w:w="115" w:type="dxa"/>
        <w:bottom w:w="72" w:type="dxa"/>
        <w:right w:w="115" w:type="dxa"/>
      </w:tblCellMar>
    </w:tblPr>
    <w:tblGrid>
      <w:gridCol w:w="934"/>
      <w:gridCol w:w="8419"/>
      <w:gridCol w:w="8419"/>
    </w:tblGrid>
    <w:tr>
      <w:tblPrEx>
        <w:tblCellMar>
          <w:top w:w="72" w:type="dxa"/>
          <w:left w:w="115" w:type="dxa"/>
          <w:bottom w:w="72" w:type="dxa"/>
          <w:right w:w="115" w:type="dxa"/>
        </w:tblCellMar>
      </w:tblPrEx>
      <w:tc>
        <w:tcPr>
          <w:tcW w:w="263" w:type="pct"/>
          <w:tcBorders>
            <w:top w:val="single" w:color="943634" w:sz="4" w:space="0"/>
          </w:tcBorders>
          <w:shd w:val="clear" w:color="auto" w:fill="990000"/>
        </w:tcPr>
        <w:p>
          <w:pPr>
            <w:pStyle w:val="13"/>
            <w:jc w:val="right"/>
            <w:rPr>
              <w:b/>
              <w:color w:val="FFFFFF"/>
              <w:lang w:val="id-ID"/>
            </w:rP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20" name="Text Box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jc w:val="right"/>
                                </w:pPr>
                                <w:r>
                                  <w:fldChar w:fldCharType="begin"/>
                                </w:r>
                                <w:r>
                                  <w:instrText xml:space="preserve"> PAGE   \* MERGEFORMAT </w:instrText>
                                </w:r>
                                <w:r>
                                  <w:fldChar w:fldCharType="separate"/>
                                </w:r>
                                <w:r>
                                  <w:rPr>
                                    <w:color w:val="FFFFFF"/>
                                  </w:rPr>
                                  <w:t>48</w:t>
                                </w:r>
                                <w:r>
                                  <w:rPr>
                                    <w:color w:val="FFFFFF"/>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Text Box 119"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SVju&#10;0AAAAAUBAAAPAAAAAAAAAAEAIAAAACIAAABkcnMvZG93bnJldi54bWxQSwECFAAUAAAACACHTuJA&#10;Ti7zYSkCAAByBAAADgAAAAAAAAABACAAAAAfAQAAZHJzL2Uyb0RvYy54bWxQSwUGAAAAAAYABgBZ&#10;AQAAugUAAAAA&#10;">
                    <v:fill on="f" focussize="0,0"/>
                    <v:stroke on="f" weight="0.5pt"/>
                    <v:imagedata o:title=""/>
                    <o:lock v:ext="edit" aspectratio="f"/>
                    <v:textbox inset="0mm,0mm,0mm,0mm" style="mso-fit-shape-to-text:t;">
                      <w:txbxContent>
                        <w:p>
                          <w:pPr>
                            <w:pStyle w:val="13"/>
                            <w:jc w:val="right"/>
                          </w:pPr>
                          <w:r>
                            <w:fldChar w:fldCharType="begin"/>
                          </w:r>
                          <w:r>
                            <w:instrText xml:space="preserve"> PAGE   \* MERGEFORMAT </w:instrText>
                          </w:r>
                          <w:r>
                            <w:fldChar w:fldCharType="separate"/>
                          </w:r>
                          <w:r>
                            <w:rPr>
                              <w:color w:val="FFFFFF"/>
                            </w:rPr>
                            <w:t>48</w:t>
                          </w:r>
                          <w:r>
                            <w:rPr>
                              <w:color w:val="FFFFFF"/>
                            </w:rPr>
                            <w:fldChar w:fldCharType="end"/>
                          </w:r>
                        </w:p>
                      </w:txbxContent>
                    </v:textbox>
                  </v:shape>
                </w:pict>
              </mc:Fallback>
            </mc:AlternateContent>
          </w:r>
        </w:p>
      </w:tc>
      <w:tc>
        <w:tcPr>
          <w:tcW w:w="2368" w:type="pct"/>
          <w:tcBorders>
            <w:top w:val="single" w:color="auto" w:sz="4" w:space="0"/>
          </w:tcBorders>
        </w:tcPr>
        <w:p>
          <w:pPr>
            <w:pStyle w:val="13"/>
            <w:spacing w:after="0" w:line="240" w:lineRule="auto"/>
            <w:rPr>
              <w:lang w:val="id-ID"/>
            </w:rPr>
          </w:pPr>
          <w:r>
            <w:t xml:space="preserve">2020 | LAKIP </w:t>
          </w:r>
          <w:r>
            <w:rPr>
              <w:lang w:val="id-ID"/>
            </w:rPr>
            <w:t>BADAN KEUANGAN DAERAH PROVINSI SUMATERA BARAT</w:t>
          </w:r>
        </w:p>
        <w:p>
          <w:pPr>
            <w:pStyle w:val="13"/>
            <w:spacing w:after="0" w:line="240" w:lineRule="auto"/>
            <w:rPr>
              <w:lang w:val="id-ID"/>
            </w:rPr>
          </w:pPr>
        </w:p>
      </w:tc>
      <w:tc>
        <w:tcPr>
          <w:tcW w:w="2368" w:type="pct"/>
          <w:tcBorders>
            <w:top w:val="single" w:color="auto" w:sz="4" w:space="0"/>
          </w:tcBorders>
        </w:tcPr>
        <w:p>
          <w:pPr>
            <w:pStyle w:val="13"/>
            <w:rPr>
              <w:color w:val="FFFFFF"/>
            </w:rPr>
          </w:pPr>
        </w:p>
      </w:tc>
    </w:tr>
  </w:tbl>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7"/>
      <w:tblW w:w="5000" w:type="pct"/>
      <w:tblInd w:w="0" w:type="dxa"/>
      <w:tblLayout w:type="autofit"/>
      <w:tblCellMar>
        <w:top w:w="72" w:type="dxa"/>
        <w:left w:w="115" w:type="dxa"/>
        <w:bottom w:w="72" w:type="dxa"/>
        <w:right w:w="115" w:type="dxa"/>
      </w:tblCellMar>
    </w:tblPr>
    <w:tblGrid>
      <w:gridCol w:w="930"/>
      <w:gridCol w:w="8372"/>
    </w:tblGrid>
    <w:tr>
      <w:tblPrEx>
        <w:tblCellMar>
          <w:top w:w="72" w:type="dxa"/>
          <w:left w:w="115" w:type="dxa"/>
          <w:bottom w:w="72" w:type="dxa"/>
          <w:right w:w="115" w:type="dxa"/>
        </w:tblCellMar>
      </w:tblPrEx>
      <w:tc>
        <w:tcPr>
          <w:tcW w:w="500" w:type="pct"/>
          <w:tcBorders>
            <w:top w:val="single" w:color="943634" w:sz="4" w:space="0"/>
          </w:tcBorders>
          <w:shd w:val="clear" w:color="auto" w:fill="943634"/>
        </w:tcPr>
        <w:p>
          <w:pPr>
            <w:pStyle w:val="13"/>
            <w:jc w:val="right"/>
            <w:rPr>
              <w:b/>
              <w:color w:val="FFFFFF"/>
            </w:rPr>
          </w:pPr>
          <w:r>
            <mc:AlternateContent>
              <mc:Choice Requires="wps">
                <w:drawing>
                  <wp:anchor distT="0" distB="0" distL="114300" distR="114300" simplePos="0" relativeHeight="251766784" behindDoc="0" locked="0" layoutInCell="1" allowOverlap="1">
                    <wp:simplePos x="0" y="0"/>
                    <wp:positionH relativeFrom="margin">
                      <wp:align>right</wp:align>
                    </wp:positionH>
                    <wp:positionV relativeFrom="paragraph">
                      <wp:posOffset>0</wp:posOffset>
                    </wp:positionV>
                    <wp:extent cx="1828800" cy="182880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jc w:val="right"/>
                                </w:pPr>
                                <w:r>
                                  <w:fldChar w:fldCharType="begin"/>
                                </w:r>
                                <w:r>
                                  <w:instrText xml:space="preserve"> PAGE   \* MERGEFORMAT </w:instrText>
                                </w:r>
                                <w:r>
                                  <w:fldChar w:fldCharType="separate"/>
                                </w:r>
                                <w:r>
                                  <w:rPr>
                                    <w:color w:val="FFFFFF"/>
                                  </w:rPr>
                                  <w:t>13</w:t>
                                </w:r>
                                <w:r>
                                  <w:rPr>
                                    <w:color w:val="FFFFFF"/>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NJWO7Q&#10;AAAABQEAAA8AAAAAAAAAAQAgAAAAIgAAAGRycy9kb3ducmV2LnhtbFBLAQIUABQAAAAIAIdO4kD4&#10;ptPJKAIAAHIEAAAOAAAAAAAAAAEAIAAAAB8BAABkcnMvZTJvRG9jLnhtbFBLBQYAAAAABgAGAFkB&#10;AAC5BQAAAAA=&#10;">
                    <v:fill on="f" focussize="0,0"/>
                    <v:stroke on="f" weight="0.5pt"/>
                    <v:imagedata o:title=""/>
                    <o:lock v:ext="edit" aspectratio="f"/>
                    <v:textbox inset="0mm,0mm,0mm,0mm" style="mso-fit-shape-to-text:t;">
                      <w:txbxContent>
                        <w:p>
                          <w:pPr>
                            <w:pStyle w:val="13"/>
                            <w:jc w:val="right"/>
                          </w:pPr>
                          <w:r>
                            <w:fldChar w:fldCharType="begin"/>
                          </w:r>
                          <w:r>
                            <w:instrText xml:space="preserve"> PAGE   \* MERGEFORMAT </w:instrText>
                          </w:r>
                          <w:r>
                            <w:fldChar w:fldCharType="separate"/>
                          </w:r>
                          <w:r>
                            <w:rPr>
                              <w:color w:val="FFFFFF"/>
                            </w:rPr>
                            <w:t>13</w:t>
                          </w:r>
                          <w:r>
                            <w:rPr>
                              <w:color w:val="FFFFFF"/>
                            </w:rPr>
                            <w:fldChar w:fldCharType="end"/>
                          </w:r>
                        </w:p>
                      </w:txbxContent>
                    </v:textbox>
                  </v:shape>
                </w:pict>
              </mc:Fallback>
            </mc:AlternateContent>
          </w:r>
        </w:p>
      </w:tc>
      <w:tc>
        <w:tcPr>
          <w:tcW w:w="4500" w:type="pct"/>
          <w:tcBorders>
            <w:top w:val="single" w:color="auto" w:sz="4" w:space="0"/>
          </w:tcBorders>
        </w:tcPr>
        <w:p>
          <w:pPr>
            <w:pStyle w:val="13"/>
            <w:spacing w:after="0" w:line="240" w:lineRule="auto"/>
            <w:rPr>
              <w:lang w:val="id-ID"/>
            </w:rPr>
          </w:pPr>
          <w:r>
            <w:t xml:space="preserve">2020| LAKIP </w:t>
          </w:r>
          <w:r>
            <w:rPr>
              <w:lang w:val="id-ID"/>
            </w:rPr>
            <w:t>BADAN KEUANGAN DAERAH PROVINSI SUMATERA BARAT</w:t>
          </w:r>
        </w:p>
        <w:p>
          <w:pPr>
            <w:pStyle w:val="13"/>
            <w:spacing w:after="0" w:line="240" w:lineRule="auto"/>
            <w:rPr>
              <w:lang w:val="id-ID"/>
            </w:rPr>
          </w:pPr>
        </w:p>
      </w:tc>
    </w:tr>
  </w:tbl>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7"/>
      <w:tblW w:w="9553" w:type="pct"/>
      <w:tblInd w:w="0" w:type="dxa"/>
      <w:tblLayout w:type="autofit"/>
      <w:tblCellMar>
        <w:top w:w="72" w:type="dxa"/>
        <w:left w:w="115" w:type="dxa"/>
        <w:bottom w:w="72" w:type="dxa"/>
        <w:right w:w="115" w:type="dxa"/>
      </w:tblCellMar>
    </w:tblPr>
    <w:tblGrid>
      <w:gridCol w:w="934"/>
      <w:gridCol w:w="8419"/>
      <w:gridCol w:w="8419"/>
    </w:tblGrid>
    <w:tr>
      <w:tblPrEx>
        <w:tblCellMar>
          <w:top w:w="72" w:type="dxa"/>
          <w:left w:w="115" w:type="dxa"/>
          <w:bottom w:w="72" w:type="dxa"/>
          <w:right w:w="115" w:type="dxa"/>
        </w:tblCellMar>
      </w:tblPrEx>
      <w:tc>
        <w:tcPr>
          <w:tcW w:w="263" w:type="pct"/>
          <w:tcBorders>
            <w:top w:val="single" w:color="943634" w:sz="4" w:space="0"/>
          </w:tcBorders>
          <w:shd w:val="clear" w:color="auto" w:fill="990000"/>
        </w:tcPr>
        <w:p>
          <w:pPr>
            <w:pStyle w:val="13"/>
            <w:jc w:val="right"/>
            <w:rPr>
              <w:b/>
              <w:color w:val="FFFFFF"/>
              <w:lang w:val="id-ID"/>
            </w:rPr>
          </w:pPr>
          <w:r>
            <mc:AlternateContent>
              <mc:Choice Requires="wps">
                <w:drawing>
                  <wp:anchor distT="0" distB="0" distL="114300" distR="114300" simplePos="0" relativeHeight="251767808" behindDoc="0" locked="0" layoutInCell="1" allowOverlap="1">
                    <wp:simplePos x="0" y="0"/>
                    <wp:positionH relativeFrom="margin">
                      <wp:align>right</wp:align>
                    </wp:positionH>
                    <wp:positionV relativeFrom="paragraph">
                      <wp:posOffset>0</wp:posOffset>
                    </wp:positionV>
                    <wp:extent cx="1828800" cy="1828800"/>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jc w:val="right"/>
                                </w:pPr>
                                <w:r>
                                  <w:fldChar w:fldCharType="begin"/>
                                </w:r>
                                <w:r>
                                  <w:instrText xml:space="preserve"> PAGE   \* MERGEFORMAT </w:instrText>
                                </w:r>
                                <w:r>
                                  <w:fldChar w:fldCharType="separate"/>
                                </w:r>
                                <w:r>
                                  <w:rPr>
                                    <w:color w:val="FFFFFF"/>
                                  </w:rPr>
                                  <w:t>1</w:t>
                                </w:r>
                                <w:r>
                                  <w:rPr>
                                    <w:color w:val="FFFFFF"/>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NJWO7Q&#10;AAAABQEAAA8AAAAAAAAAAQAgAAAAIgAAAGRycy9kb3ducmV2LnhtbFBLAQIUABQAAAAIAIdO4kCb&#10;cAwGKAIAAHIEAAAOAAAAAAAAAAEAIAAAAB8BAABkcnMvZTJvRG9jLnhtbFBLBQYAAAAABgAGAFkB&#10;AAC5BQAAAAA=&#10;">
                    <v:fill on="f" focussize="0,0"/>
                    <v:stroke on="f" weight="0.5pt"/>
                    <v:imagedata o:title=""/>
                    <o:lock v:ext="edit" aspectratio="f"/>
                    <v:textbox inset="0mm,0mm,0mm,0mm" style="mso-fit-shape-to-text:t;">
                      <w:txbxContent>
                        <w:p>
                          <w:pPr>
                            <w:pStyle w:val="13"/>
                            <w:jc w:val="right"/>
                          </w:pPr>
                          <w:r>
                            <w:fldChar w:fldCharType="begin"/>
                          </w:r>
                          <w:r>
                            <w:instrText xml:space="preserve"> PAGE   \* MERGEFORMAT </w:instrText>
                          </w:r>
                          <w:r>
                            <w:fldChar w:fldCharType="separate"/>
                          </w:r>
                          <w:r>
                            <w:rPr>
                              <w:color w:val="FFFFFF"/>
                            </w:rPr>
                            <w:t>1</w:t>
                          </w:r>
                          <w:r>
                            <w:rPr>
                              <w:color w:val="FFFFFF"/>
                            </w:rPr>
                            <w:fldChar w:fldCharType="end"/>
                          </w:r>
                        </w:p>
                      </w:txbxContent>
                    </v:textbox>
                  </v:shape>
                </w:pict>
              </mc:Fallback>
            </mc:AlternateContent>
          </w:r>
        </w:p>
      </w:tc>
      <w:tc>
        <w:tcPr>
          <w:tcW w:w="2368" w:type="pct"/>
          <w:tcBorders>
            <w:top w:val="single" w:color="auto" w:sz="4" w:space="0"/>
          </w:tcBorders>
        </w:tcPr>
        <w:p>
          <w:pPr>
            <w:pStyle w:val="13"/>
            <w:spacing w:after="0" w:line="240" w:lineRule="auto"/>
            <w:rPr>
              <w:lang w:val="id-ID"/>
            </w:rPr>
          </w:pPr>
          <w:r>
            <w:t xml:space="preserve">2020 | LAKIP </w:t>
          </w:r>
          <w:r>
            <w:rPr>
              <w:lang w:val="id-ID"/>
            </w:rPr>
            <w:t>BADAN KEUANGAN DAERAH PROVINSI SUMATERA BARAT</w:t>
          </w:r>
        </w:p>
        <w:p>
          <w:pPr>
            <w:pStyle w:val="13"/>
            <w:spacing w:after="0" w:line="240" w:lineRule="auto"/>
            <w:rPr>
              <w:lang w:val="id-ID"/>
            </w:rPr>
          </w:pPr>
        </w:p>
      </w:tc>
      <w:tc>
        <w:tcPr>
          <w:tcW w:w="2368" w:type="pct"/>
          <w:tcBorders>
            <w:top w:val="single" w:color="auto" w:sz="4" w:space="0"/>
          </w:tcBorders>
        </w:tcPr>
        <w:p>
          <w:pPr>
            <w:pStyle w:val="13"/>
            <w:rPr>
              <w:color w:val="FFFFFF"/>
            </w:rPr>
          </w:pPr>
        </w:p>
      </w:tc>
    </w:tr>
  </w:tbl>
  <w:p>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7"/>
      <w:tblW w:w="5000" w:type="pct"/>
      <w:tblInd w:w="0" w:type="dxa"/>
      <w:tblLayout w:type="autofit"/>
      <w:tblCellMar>
        <w:top w:w="72" w:type="dxa"/>
        <w:left w:w="115" w:type="dxa"/>
        <w:bottom w:w="72" w:type="dxa"/>
        <w:right w:w="115" w:type="dxa"/>
      </w:tblCellMar>
    </w:tblPr>
    <w:tblGrid>
      <w:gridCol w:w="1319"/>
      <w:gridCol w:w="11871"/>
    </w:tblGrid>
    <w:tr>
      <w:tblPrEx>
        <w:tblCellMar>
          <w:top w:w="72" w:type="dxa"/>
          <w:left w:w="115" w:type="dxa"/>
          <w:bottom w:w="72" w:type="dxa"/>
          <w:right w:w="115" w:type="dxa"/>
        </w:tblCellMar>
      </w:tblPrEx>
      <w:tc>
        <w:tcPr>
          <w:tcW w:w="500" w:type="pct"/>
          <w:tcBorders>
            <w:top w:val="single" w:color="943634" w:sz="4" w:space="0"/>
          </w:tcBorders>
          <w:shd w:val="clear" w:color="auto" w:fill="943634"/>
        </w:tcPr>
        <w:p>
          <w:pPr>
            <w:pStyle w:val="13"/>
            <w:jc w:val="right"/>
            <w:rPr>
              <w:b/>
              <w:color w:val="FFFFFF"/>
            </w:rPr>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jc w:val="right"/>
                                </w:pPr>
                                <w:r>
                                  <w:fldChar w:fldCharType="begin"/>
                                </w:r>
                                <w:r>
                                  <w:instrText xml:space="preserve"> PAGE   \* MERGEFORMAT </w:instrText>
                                </w:r>
                                <w:r>
                                  <w:fldChar w:fldCharType="separate"/>
                                </w:r>
                                <w:r>
                                  <w:rPr>
                                    <w:color w:val="FFFFFF"/>
                                  </w:rPr>
                                  <w:t>18</w:t>
                                </w:r>
                                <w:r>
                                  <w:rPr>
                                    <w:color w:val="FFFFFF"/>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NJWO7Q&#10;AAAABQEAAA8AAAAAAAAAAQAgAAAAIgAAAGRycy9kb3ducmV2LnhtbFBLAQIUABQAAAAIAIdO4kB/&#10;DB2NKAIAAHIEAAAOAAAAAAAAAAEAIAAAAB8BAABkcnMvZTJvRG9jLnhtbFBLBQYAAAAABgAGAFkB&#10;AAC5BQAAAAA=&#10;">
                    <v:fill on="f" focussize="0,0"/>
                    <v:stroke on="f" weight="0.5pt"/>
                    <v:imagedata o:title=""/>
                    <o:lock v:ext="edit" aspectratio="f"/>
                    <v:textbox inset="0mm,0mm,0mm,0mm" style="mso-fit-shape-to-text:t;">
                      <w:txbxContent>
                        <w:p>
                          <w:pPr>
                            <w:pStyle w:val="13"/>
                            <w:jc w:val="right"/>
                          </w:pPr>
                          <w:r>
                            <w:fldChar w:fldCharType="begin"/>
                          </w:r>
                          <w:r>
                            <w:instrText xml:space="preserve"> PAGE   \* MERGEFORMAT </w:instrText>
                          </w:r>
                          <w:r>
                            <w:fldChar w:fldCharType="separate"/>
                          </w:r>
                          <w:r>
                            <w:rPr>
                              <w:color w:val="FFFFFF"/>
                            </w:rPr>
                            <w:t>18</w:t>
                          </w:r>
                          <w:r>
                            <w:rPr>
                              <w:color w:val="FFFFFF"/>
                            </w:rPr>
                            <w:fldChar w:fldCharType="end"/>
                          </w:r>
                        </w:p>
                      </w:txbxContent>
                    </v:textbox>
                  </v:shape>
                </w:pict>
              </mc:Fallback>
            </mc:AlternateContent>
          </w:r>
        </w:p>
      </w:tc>
      <w:tc>
        <w:tcPr>
          <w:tcW w:w="4500" w:type="pct"/>
          <w:tcBorders>
            <w:top w:val="single" w:color="auto" w:sz="4" w:space="0"/>
          </w:tcBorders>
        </w:tcPr>
        <w:p>
          <w:pPr>
            <w:pStyle w:val="13"/>
            <w:spacing w:after="0" w:line="240" w:lineRule="auto"/>
            <w:rPr>
              <w:lang w:val="id-ID"/>
            </w:rPr>
          </w:pPr>
          <w:r>
            <w:t xml:space="preserve">2020| LAKIP </w:t>
          </w:r>
          <w:r>
            <w:rPr>
              <w:lang w:val="id-ID"/>
            </w:rPr>
            <w:t>BADAN KEUANGAN DAERAH PROVINSI SUMATERA BARAT</w:t>
          </w:r>
        </w:p>
        <w:p>
          <w:pPr>
            <w:pStyle w:val="13"/>
            <w:spacing w:after="0" w:line="240" w:lineRule="auto"/>
            <w:rPr>
              <w:lang w:val="id-ID"/>
            </w:rPr>
          </w:pPr>
        </w:p>
      </w:tc>
    </w:tr>
  </w:tbl>
  <w:p>
    <w:pPr>
      <w:pStyle w:val="1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7"/>
      <w:tblW w:w="9553" w:type="pct"/>
      <w:tblInd w:w="0" w:type="dxa"/>
      <w:tblLayout w:type="autofit"/>
      <w:tblCellMar>
        <w:top w:w="72" w:type="dxa"/>
        <w:left w:w="115" w:type="dxa"/>
        <w:bottom w:w="72" w:type="dxa"/>
        <w:right w:w="115" w:type="dxa"/>
      </w:tblCellMar>
    </w:tblPr>
    <w:tblGrid>
      <w:gridCol w:w="1325"/>
      <w:gridCol w:w="11938"/>
      <w:gridCol w:w="11938"/>
    </w:tblGrid>
    <w:tr>
      <w:tblPrEx>
        <w:tblCellMar>
          <w:top w:w="72" w:type="dxa"/>
          <w:left w:w="115" w:type="dxa"/>
          <w:bottom w:w="72" w:type="dxa"/>
          <w:right w:w="115" w:type="dxa"/>
        </w:tblCellMar>
      </w:tblPrEx>
      <w:tc>
        <w:tcPr>
          <w:tcW w:w="263" w:type="pct"/>
          <w:tcBorders>
            <w:top w:val="single" w:color="943634" w:sz="4" w:space="0"/>
          </w:tcBorders>
          <w:shd w:val="clear" w:color="auto" w:fill="990000"/>
        </w:tcPr>
        <w:p>
          <w:pPr>
            <w:pStyle w:val="13"/>
            <w:jc w:val="right"/>
            <w:rPr>
              <w:b/>
              <w:color w:val="FFFFFF"/>
              <w:lang w:val="id-ID"/>
            </w:rPr>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jc w:val="right"/>
                                </w:pPr>
                                <w:r>
                                  <w:fldChar w:fldCharType="begin"/>
                                </w:r>
                                <w:r>
                                  <w:instrText xml:space="preserve"> PAGE   \* MERGEFORMAT </w:instrText>
                                </w:r>
                                <w:r>
                                  <w:fldChar w:fldCharType="separate"/>
                                </w:r>
                                <w:r>
                                  <w:rPr>
                                    <w:color w:val="FFFFFF"/>
                                  </w:rPr>
                                  <w:t>14</w:t>
                                </w:r>
                                <w:r>
                                  <w:rPr>
                                    <w:color w:val="FFFFFF"/>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SVju&#10;0AAAAAUBAAAPAAAAAAAAAAEAIAAAACIAAABkcnMvZG93bnJldi54bWxQSwECFAAUAAAACACHTuJA&#10;2RSZjCkCAAByBAAADgAAAAAAAAABACAAAAAfAQAAZHJzL2Uyb0RvYy54bWxQSwUGAAAAAAYABgBZ&#10;AQAAugUAAAAA&#10;">
                    <v:fill on="f" focussize="0,0"/>
                    <v:stroke on="f" weight="0.5pt"/>
                    <v:imagedata o:title=""/>
                    <o:lock v:ext="edit" aspectratio="f"/>
                    <v:textbox inset="0mm,0mm,0mm,0mm" style="mso-fit-shape-to-text:t;">
                      <w:txbxContent>
                        <w:p>
                          <w:pPr>
                            <w:pStyle w:val="13"/>
                            <w:jc w:val="right"/>
                          </w:pPr>
                          <w:r>
                            <w:fldChar w:fldCharType="begin"/>
                          </w:r>
                          <w:r>
                            <w:instrText xml:space="preserve"> PAGE   \* MERGEFORMAT </w:instrText>
                          </w:r>
                          <w:r>
                            <w:fldChar w:fldCharType="separate"/>
                          </w:r>
                          <w:r>
                            <w:rPr>
                              <w:color w:val="FFFFFF"/>
                            </w:rPr>
                            <w:t>14</w:t>
                          </w:r>
                          <w:r>
                            <w:rPr>
                              <w:color w:val="FFFFFF"/>
                            </w:rPr>
                            <w:fldChar w:fldCharType="end"/>
                          </w:r>
                        </w:p>
                      </w:txbxContent>
                    </v:textbox>
                  </v:shape>
                </w:pict>
              </mc:Fallback>
            </mc:AlternateContent>
          </w:r>
        </w:p>
      </w:tc>
      <w:tc>
        <w:tcPr>
          <w:tcW w:w="2368" w:type="pct"/>
          <w:tcBorders>
            <w:top w:val="single" w:color="auto" w:sz="4" w:space="0"/>
          </w:tcBorders>
        </w:tcPr>
        <w:p>
          <w:pPr>
            <w:pStyle w:val="13"/>
            <w:spacing w:after="0" w:line="240" w:lineRule="auto"/>
            <w:rPr>
              <w:lang w:val="id-ID"/>
            </w:rPr>
          </w:pPr>
          <w:r>
            <w:t xml:space="preserve">2020| LAKIP </w:t>
          </w:r>
          <w:r>
            <w:rPr>
              <w:lang w:val="id-ID"/>
            </w:rPr>
            <w:t>BADAN KEUANGAN DAERAH PROVINSI SUMATERA BARAT</w:t>
          </w:r>
        </w:p>
        <w:p>
          <w:pPr>
            <w:pStyle w:val="13"/>
            <w:spacing w:after="0" w:line="240" w:lineRule="auto"/>
            <w:rPr>
              <w:lang w:val="id-ID"/>
            </w:rPr>
          </w:pPr>
        </w:p>
      </w:tc>
      <w:tc>
        <w:tcPr>
          <w:tcW w:w="2368" w:type="pct"/>
          <w:tcBorders>
            <w:top w:val="single" w:color="auto" w:sz="4" w:space="0"/>
          </w:tcBorders>
        </w:tcPr>
        <w:p>
          <w:pPr>
            <w:pStyle w:val="13"/>
            <w:rPr>
              <w:color w:val="FFFFFF"/>
            </w:rPr>
          </w:pPr>
        </w:p>
      </w:tc>
    </w:tr>
  </w:tbl>
  <w:p>
    <w:pPr>
      <w:pStyle w:val="1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7"/>
      <w:tblW w:w="5000" w:type="pct"/>
      <w:tblInd w:w="0" w:type="dxa"/>
      <w:tblLayout w:type="autofit"/>
      <w:tblCellMar>
        <w:top w:w="72" w:type="dxa"/>
        <w:left w:w="115" w:type="dxa"/>
        <w:bottom w:w="72" w:type="dxa"/>
        <w:right w:w="115" w:type="dxa"/>
      </w:tblCellMar>
    </w:tblPr>
    <w:tblGrid>
      <w:gridCol w:w="930"/>
      <w:gridCol w:w="8372"/>
    </w:tblGrid>
    <w:tr>
      <w:tblPrEx>
        <w:tblCellMar>
          <w:top w:w="72" w:type="dxa"/>
          <w:left w:w="115" w:type="dxa"/>
          <w:bottom w:w="72" w:type="dxa"/>
          <w:right w:w="115" w:type="dxa"/>
        </w:tblCellMar>
      </w:tblPrEx>
      <w:tc>
        <w:tcPr>
          <w:tcW w:w="500" w:type="pct"/>
          <w:tcBorders>
            <w:top w:val="single" w:color="943634" w:sz="4" w:space="0"/>
          </w:tcBorders>
          <w:shd w:val="clear" w:color="auto" w:fill="943634"/>
        </w:tcPr>
        <w:p>
          <w:pPr>
            <w:pStyle w:val="13"/>
            <w:jc w:val="right"/>
            <w:rPr>
              <w:b/>
              <w:color w:val="FFFFFF"/>
            </w:rPr>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21" name="Text Box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jc w:val="right"/>
                                </w:pPr>
                                <w:r>
                                  <w:fldChar w:fldCharType="begin"/>
                                </w:r>
                                <w:r>
                                  <w:instrText xml:space="preserve"> PAGE   \* MERGEFORMAT </w:instrText>
                                </w:r>
                                <w:r>
                                  <w:fldChar w:fldCharType="separate"/>
                                </w:r>
                                <w:r>
                                  <w:rPr>
                                    <w:color w:val="FFFFFF"/>
                                  </w:rPr>
                                  <w:t>73</w:t>
                                </w:r>
                                <w:r>
                                  <w:rPr>
                                    <w:color w:val="FFFFFF"/>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Text Box 120"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NJWO7Q&#10;AAAABQEAAA8AAAAAAAAAAQAgAAAAIgAAAGRycy9kb3ducmV2LnhtbFBLAQIUABQAAAAIAIdO4kA0&#10;v0qaKAIAAHIEAAAOAAAAAAAAAAEAIAAAAB8BAABkcnMvZTJvRG9jLnhtbFBLBQYAAAAABgAGAFkB&#10;AAC5BQAAAAA=&#10;">
                    <v:fill on="f" focussize="0,0"/>
                    <v:stroke on="f" weight="0.5pt"/>
                    <v:imagedata o:title=""/>
                    <o:lock v:ext="edit" aspectratio="f"/>
                    <v:textbox inset="0mm,0mm,0mm,0mm" style="mso-fit-shape-to-text:t;">
                      <w:txbxContent>
                        <w:p>
                          <w:pPr>
                            <w:pStyle w:val="13"/>
                            <w:jc w:val="right"/>
                          </w:pPr>
                          <w:r>
                            <w:fldChar w:fldCharType="begin"/>
                          </w:r>
                          <w:r>
                            <w:instrText xml:space="preserve"> PAGE   \* MERGEFORMAT </w:instrText>
                          </w:r>
                          <w:r>
                            <w:fldChar w:fldCharType="separate"/>
                          </w:r>
                          <w:r>
                            <w:rPr>
                              <w:color w:val="FFFFFF"/>
                            </w:rPr>
                            <w:t>73</w:t>
                          </w:r>
                          <w:r>
                            <w:rPr>
                              <w:color w:val="FFFFFF"/>
                            </w:rPr>
                            <w:fldChar w:fldCharType="end"/>
                          </w:r>
                        </w:p>
                      </w:txbxContent>
                    </v:textbox>
                  </v:shape>
                </w:pict>
              </mc:Fallback>
            </mc:AlternateContent>
          </w:r>
        </w:p>
      </w:tc>
      <w:tc>
        <w:tcPr>
          <w:tcW w:w="4500" w:type="pct"/>
          <w:tcBorders>
            <w:top w:val="single" w:color="auto" w:sz="4" w:space="0"/>
          </w:tcBorders>
        </w:tcPr>
        <w:p>
          <w:pPr>
            <w:pStyle w:val="13"/>
            <w:spacing w:after="0" w:line="240" w:lineRule="auto"/>
            <w:rPr>
              <w:lang w:val="id-ID"/>
            </w:rPr>
          </w:pPr>
          <w:r>
            <w:t xml:space="preserve">2020 | LAKIP </w:t>
          </w:r>
          <w:r>
            <w:rPr>
              <w:lang w:val="id-ID"/>
            </w:rPr>
            <w:t>BADAN KEUANGAN DAERAH PROVINSI SUMATERA BARAT</w:t>
          </w:r>
        </w:p>
        <w:p>
          <w:pPr>
            <w:pStyle w:val="13"/>
          </w:pPr>
        </w:p>
      </w:tc>
    </w:tr>
  </w:tbl>
  <w:p>
    <w:pPr>
      <w:pStyle w:val="1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7"/>
      <w:tblW w:w="9553" w:type="pct"/>
      <w:tblInd w:w="0" w:type="dxa"/>
      <w:tblLayout w:type="autofit"/>
      <w:tblCellMar>
        <w:top w:w="72" w:type="dxa"/>
        <w:left w:w="115" w:type="dxa"/>
        <w:bottom w:w="72" w:type="dxa"/>
        <w:right w:w="115" w:type="dxa"/>
      </w:tblCellMar>
    </w:tblPr>
    <w:tblGrid>
      <w:gridCol w:w="934"/>
      <w:gridCol w:w="8419"/>
      <w:gridCol w:w="8419"/>
    </w:tblGrid>
    <w:tr>
      <w:tblPrEx>
        <w:tblCellMar>
          <w:top w:w="72" w:type="dxa"/>
          <w:left w:w="115" w:type="dxa"/>
          <w:bottom w:w="72" w:type="dxa"/>
          <w:right w:w="115" w:type="dxa"/>
        </w:tblCellMar>
      </w:tblPrEx>
      <w:tc>
        <w:tcPr>
          <w:tcW w:w="263" w:type="pct"/>
          <w:tcBorders>
            <w:top w:val="single" w:color="943634" w:sz="4" w:space="0"/>
          </w:tcBorders>
          <w:shd w:val="clear" w:color="auto" w:fill="990000"/>
        </w:tcPr>
        <w:p>
          <w:pPr>
            <w:pStyle w:val="13"/>
            <w:jc w:val="right"/>
            <w:rPr>
              <w:b/>
              <w:color w:val="FFFFFF"/>
              <w:lang w:val="id-ID"/>
            </w:rPr>
          </w:pPr>
          <w: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0</wp:posOffset>
                    </wp:positionV>
                    <wp:extent cx="1828800" cy="18288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jc w:val="right"/>
                                </w:pPr>
                                <w:r>
                                  <w:fldChar w:fldCharType="begin"/>
                                </w:r>
                                <w:r>
                                  <w:instrText xml:space="preserve"> PAGE   \* MERGEFORMAT </w:instrText>
                                </w:r>
                                <w:r>
                                  <w:fldChar w:fldCharType="separate"/>
                                </w:r>
                                <w:r>
                                  <w:rPr>
                                    <w:color w:val="FFFFFF"/>
                                  </w:rPr>
                                  <w:t>19</w:t>
                                </w:r>
                                <w:r>
                                  <w:rPr>
                                    <w:color w:val="FFFFFF"/>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SVju&#10;0AAAAAUBAAAPAAAAAAAAAAEAIAAAACIAAABkcnMvZG93bnJldi54bWxQSwECFAAUAAAACACHTuJA&#10;usJGQykCAAByBAAADgAAAAAAAAABACAAAAAfAQAAZHJzL2Uyb0RvYy54bWxQSwUGAAAAAAYABgBZ&#10;AQAAugUAAAAA&#10;">
                    <v:fill on="f" focussize="0,0"/>
                    <v:stroke on="f" weight="0.5pt"/>
                    <v:imagedata o:title=""/>
                    <o:lock v:ext="edit" aspectratio="f"/>
                    <v:textbox inset="0mm,0mm,0mm,0mm" style="mso-fit-shape-to-text:t;">
                      <w:txbxContent>
                        <w:p>
                          <w:pPr>
                            <w:pStyle w:val="13"/>
                            <w:jc w:val="right"/>
                          </w:pPr>
                          <w:r>
                            <w:fldChar w:fldCharType="begin"/>
                          </w:r>
                          <w:r>
                            <w:instrText xml:space="preserve"> PAGE   \* MERGEFORMAT </w:instrText>
                          </w:r>
                          <w:r>
                            <w:fldChar w:fldCharType="separate"/>
                          </w:r>
                          <w:r>
                            <w:rPr>
                              <w:color w:val="FFFFFF"/>
                            </w:rPr>
                            <w:t>19</w:t>
                          </w:r>
                          <w:r>
                            <w:rPr>
                              <w:color w:val="FFFFFF"/>
                            </w:rPr>
                            <w:fldChar w:fldCharType="end"/>
                          </w:r>
                        </w:p>
                      </w:txbxContent>
                    </v:textbox>
                  </v:shape>
                </w:pict>
              </mc:Fallback>
            </mc:AlternateContent>
          </w:r>
        </w:p>
      </w:tc>
      <w:tc>
        <w:tcPr>
          <w:tcW w:w="2368" w:type="pct"/>
          <w:tcBorders>
            <w:top w:val="single" w:color="auto" w:sz="4" w:space="0"/>
          </w:tcBorders>
        </w:tcPr>
        <w:p>
          <w:pPr>
            <w:pStyle w:val="13"/>
            <w:spacing w:after="0" w:line="240" w:lineRule="auto"/>
            <w:rPr>
              <w:lang w:val="id-ID"/>
            </w:rPr>
          </w:pPr>
          <w:r>
            <w:t xml:space="preserve">2020 | LAKIP </w:t>
          </w:r>
          <w:r>
            <w:rPr>
              <w:lang w:val="id-ID"/>
            </w:rPr>
            <w:t>BADAN KEUANGAN DAERAH PROVINSI SUMATERA BARAT</w:t>
          </w:r>
        </w:p>
        <w:p>
          <w:pPr>
            <w:pStyle w:val="13"/>
            <w:spacing w:after="0" w:line="240" w:lineRule="auto"/>
            <w:rPr>
              <w:lang w:val="id-ID"/>
            </w:rPr>
          </w:pPr>
        </w:p>
      </w:tc>
      <w:tc>
        <w:tcPr>
          <w:tcW w:w="2368" w:type="pct"/>
          <w:tcBorders>
            <w:top w:val="single" w:color="auto" w:sz="4" w:space="0"/>
          </w:tcBorders>
        </w:tcPr>
        <w:p>
          <w:pPr>
            <w:pStyle w:val="13"/>
            <w:rPr>
              <w:color w:val="FFFFFF"/>
            </w:rPr>
          </w:pPr>
        </w:p>
      </w:tc>
    </w:tr>
  </w:tbl>
  <w:p>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B52D6"/>
    <w:multiLevelType w:val="singleLevel"/>
    <w:tmpl w:val="AF1B52D6"/>
    <w:lvl w:ilvl="0" w:tentative="0">
      <w:start w:val="1"/>
      <w:numFmt w:val="lowerLetter"/>
      <w:lvlText w:val="%1."/>
      <w:lvlJc w:val="left"/>
      <w:pPr>
        <w:tabs>
          <w:tab w:val="left" w:pos="425"/>
        </w:tabs>
        <w:ind w:left="425" w:hanging="425"/>
      </w:pPr>
      <w:rPr>
        <w:rFonts w:hint="default"/>
      </w:rPr>
    </w:lvl>
  </w:abstractNum>
  <w:abstractNum w:abstractNumId="1">
    <w:nsid w:val="B7E34A7B"/>
    <w:multiLevelType w:val="singleLevel"/>
    <w:tmpl w:val="B7E34A7B"/>
    <w:lvl w:ilvl="0" w:tentative="0">
      <w:start w:val="1"/>
      <w:numFmt w:val="decimal"/>
      <w:suff w:val="space"/>
      <w:lvlText w:val="%1."/>
      <w:lvlJc w:val="left"/>
    </w:lvl>
  </w:abstractNum>
  <w:abstractNum w:abstractNumId="2">
    <w:nsid w:val="B9B2B652"/>
    <w:multiLevelType w:val="multilevel"/>
    <w:tmpl w:val="B9B2B652"/>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BBB25466"/>
    <w:multiLevelType w:val="singleLevel"/>
    <w:tmpl w:val="BBB25466"/>
    <w:lvl w:ilvl="0" w:tentative="0">
      <w:start w:val="1"/>
      <w:numFmt w:val="lowerLetter"/>
      <w:lvlText w:val="%1."/>
      <w:lvlJc w:val="left"/>
      <w:pPr>
        <w:tabs>
          <w:tab w:val="left" w:pos="425"/>
        </w:tabs>
        <w:ind w:left="425" w:hanging="425"/>
      </w:pPr>
      <w:rPr>
        <w:rFonts w:hint="default"/>
      </w:rPr>
    </w:lvl>
  </w:abstractNum>
  <w:abstractNum w:abstractNumId="4">
    <w:nsid w:val="D726E68C"/>
    <w:multiLevelType w:val="singleLevel"/>
    <w:tmpl w:val="D726E68C"/>
    <w:lvl w:ilvl="0" w:tentative="0">
      <w:start w:val="1"/>
      <w:numFmt w:val="lowerLetter"/>
      <w:lvlText w:val="%1."/>
      <w:lvlJc w:val="left"/>
      <w:pPr>
        <w:tabs>
          <w:tab w:val="left" w:pos="425"/>
        </w:tabs>
        <w:ind w:left="425" w:hanging="425"/>
      </w:pPr>
      <w:rPr>
        <w:rFonts w:hint="default"/>
      </w:rPr>
    </w:lvl>
  </w:abstractNum>
  <w:abstractNum w:abstractNumId="5">
    <w:nsid w:val="DF8D55BF"/>
    <w:multiLevelType w:val="singleLevel"/>
    <w:tmpl w:val="DF8D55BF"/>
    <w:lvl w:ilvl="0" w:tentative="0">
      <w:start w:val="1"/>
      <w:numFmt w:val="lowerLetter"/>
      <w:lvlText w:val="%1."/>
      <w:lvlJc w:val="left"/>
      <w:pPr>
        <w:tabs>
          <w:tab w:val="left" w:pos="425"/>
        </w:tabs>
        <w:ind w:left="425" w:hanging="425"/>
      </w:pPr>
      <w:rPr>
        <w:rFonts w:hint="default"/>
      </w:rPr>
    </w:lvl>
  </w:abstractNum>
  <w:abstractNum w:abstractNumId="6">
    <w:nsid w:val="00642A68"/>
    <w:multiLevelType w:val="multilevel"/>
    <w:tmpl w:val="00642A68"/>
    <w:lvl w:ilvl="0" w:tentative="0">
      <w:start w:val="1"/>
      <w:numFmt w:val="upperRoman"/>
      <w:pStyle w:val="20"/>
      <w:lvlText w:val="%1."/>
      <w:lvlJc w:val="left"/>
      <w:pPr>
        <w:tabs>
          <w:tab w:val="left" w:pos="1080"/>
        </w:tabs>
        <w:ind w:left="1080" w:hanging="720"/>
      </w:pPr>
      <w:rPr>
        <w:rFonts w:hint="default"/>
      </w:rPr>
    </w:lvl>
    <w:lvl w:ilvl="1" w:tentative="0">
      <w:start w:val="1"/>
      <w:numFmt w:val="upperLetter"/>
      <w:lvlText w:val="%2."/>
      <w:lvlJc w:val="left"/>
      <w:pPr>
        <w:tabs>
          <w:tab w:val="left" w:pos="1440"/>
        </w:tabs>
        <w:ind w:left="1440" w:hanging="36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01170253"/>
    <w:multiLevelType w:val="multilevel"/>
    <w:tmpl w:val="0117025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01233B33"/>
    <w:multiLevelType w:val="multilevel"/>
    <w:tmpl w:val="01233B33"/>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07F9262B"/>
    <w:multiLevelType w:val="singleLevel"/>
    <w:tmpl w:val="07F9262B"/>
    <w:lvl w:ilvl="0" w:tentative="0">
      <w:start w:val="1"/>
      <w:numFmt w:val="lowerLetter"/>
      <w:lvlText w:val="%1."/>
      <w:lvlJc w:val="left"/>
      <w:pPr>
        <w:tabs>
          <w:tab w:val="left" w:pos="425"/>
        </w:tabs>
        <w:ind w:left="425" w:hanging="425"/>
      </w:pPr>
      <w:rPr>
        <w:rFonts w:hint="default"/>
      </w:rPr>
    </w:lvl>
  </w:abstractNum>
  <w:abstractNum w:abstractNumId="10">
    <w:nsid w:val="09262856"/>
    <w:multiLevelType w:val="multilevel"/>
    <w:tmpl w:val="0926285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095D5DB0"/>
    <w:multiLevelType w:val="multilevel"/>
    <w:tmpl w:val="095D5DB0"/>
    <w:lvl w:ilvl="0" w:tentative="0">
      <w:start w:val="1"/>
      <w:numFmt w:val="upp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2">
    <w:nsid w:val="09E1FE87"/>
    <w:multiLevelType w:val="singleLevel"/>
    <w:tmpl w:val="09E1FE87"/>
    <w:lvl w:ilvl="0" w:tentative="0">
      <w:start w:val="1"/>
      <w:numFmt w:val="decimal"/>
      <w:lvlText w:val="%1."/>
      <w:lvlJc w:val="left"/>
      <w:pPr>
        <w:tabs>
          <w:tab w:val="left" w:pos="425"/>
        </w:tabs>
        <w:ind w:left="425" w:hanging="425"/>
      </w:pPr>
      <w:rPr>
        <w:rFonts w:hint="default"/>
      </w:rPr>
    </w:lvl>
  </w:abstractNum>
  <w:abstractNum w:abstractNumId="13">
    <w:nsid w:val="09FD6277"/>
    <w:multiLevelType w:val="multilevel"/>
    <w:tmpl w:val="09FD6277"/>
    <w:lvl w:ilvl="0" w:tentative="0">
      <w:start w:val="1"/>
      <w:numFmt w:val="upperLetter"/>
      <w:lvlText w:val="%1."/>
      <w:lvlJc w:val="left"/>
      <w:pPr>
        <w:ind w:left="1778" w:hanging="360"/>
      </w:pPr>
      <w:rPr>
        <w:rFonts w:hint="default"/>
      </w:rPr>
    </w:lvl>
    <w:lvl w:ilvl="1" w:tentative="0">
      <w:start w:val="1"/>
      <w:numFmt w:val="lowerLetter"/>
      <w:lvlText w:val="%2."/>
      <w:lvlJc w:val="left"/>
      <w:pPr>
        <w:ind w:left="2498" w:hanging="360"/>
      </w:pPr>
    </w:lvl>
    <w:lvl w:ilvl="2" w:tentative="0">
      <w:start w:val="1"/>
      <w:numFmt w:val="lowerRoman"/>
      <w:lvlText w:val="%3."/>
      <w:lvlJc w:val="right"/>
      <w:pPr>
        <w:ind w:left="3218" w:hanging="180"/>
      </w:pPr>
    </w:lvl>
    <w:lvl w:ilvl="3" w:tentative="0">
      <w:start w:val="1"/>
      <w:numFmt w:val="decimal"/>
      <w:lvlText w:val="%4."/>
      <w:lvlJc w:val="left"/>
      <w:pPr>
        <w:ind w:left="3938" w:hanging="360"/>
      </w:pPr>
    </w:lvl>
    <w:lvl w:ilvl="4" w:tentative="0">
      <w:start w:val="1"/>
      <w:numFmt w:val="lowerLetter"/>
      <w:lvlText w:val="%5."/>
      <w:lvlJc w:val="left"/>
      <w:pPr>
        <w:ind w:left="4658" w:hanging="360"/>
      </w:pPr>
    </w:lvl>
    <w:lvl w:ilvl="5" w:tentative="0">
      <w:start w:val="1"/>
      <w:numFmt w:val="lowerRoman"/>
      <w:lvlText w:val="%6."/>
      <w:lvlJc w:val="right"/>
      <w:pPr>
        <w:ind w:left="5378" w:hanging="180"/>
      </w:pPr>
    </w:lvl>
    <w:lvl w:ilvl="6" w:tentative="0">
      <w:start w:val="1"/>
      <w:numFmt w:val="decimal"/>
      <w:lvlText w:val="%7."/>
      <w:lvlJc w:val="left"/>
      <w:pPr>
        <w:ind w:left="6098" w:hanging="360"/>
      </w:pPr>
    </w:lvl>
    <w:lvl w:ilvl="7" w:tentative="0">
      <w:start w:val="1"/>
      <w:numFmt w:val="lowerLetter"/>
      <w:lvlText w:val="%8."/>
      <w:lvlJc w:val="left"/>
      <w:pPr>
        <w:ind w:left="6818" w:hanging="360"/>
      </w:pPr>
    </w:lvl>
    <w:lvl w:ilvl="8" w:tentative="0">
      <w:start w:val="1"/>
      <w:numFmt w:val="lowerRoman"/>
      <w:lvlText w:val="%9."/>
      <w:lvlJc w:val="right"/>
      <w:pPr>
        <w:ind w:left="7538" w:hanging="180"/>
      </w:pPr>
    </w:lvl>
  </w:abstractNum>
  <w:abstractNum w:abstractNumId="14">
    <w:nsid w:val="0F632750"/>
    <w:multiLevelType w:val="singleLevel"/>
    <w:tmpl w:val="0F632750"/>
    <w:lvl w:ilvl="0" w:tentative="0">
      <w:start w:val="1"/>
      <w:numFmt w:val="lowerLetter"/>
      <w:lvlText w:val="%1."/>
      <w:lvlJc w:val="left"/>
      <w:pPr>
        <w:tabs>
          <w:tab w:val="left" w:pos="425"/>
        </w:tabs>
        <w:ind w:left="425" w:leftChars="0" w:hanging="425" w:firstLineChars="0"/>
      </w:pPr>
      <w:rPr>
        <w:rFonts w:hint="default"/>
      </w:rPr>
    </w:lvl>
  </w:abstractNum>
  <w:abstractNum w:abstractNumId="15">
    <w:nsid w:val="183C7747"/>
    <w:multiLevelType w:val="multilevel"/>
    <w:tmpl w:val="183C7747"/>
    <w:lvl w:ilvl="0" w:tentative="0">
      <w:start w:val="1"/>
      <w:numFmt w:val="upp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6">
    <w:nsid w:val="19BC768A"/>
    <w:multiLevelType w:val="multilevel"/>
    <w:tmpl w:val="19BC768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22024C51"/>
    <w:multiLevelType w:val="multilevel"/>
    <w:tmpl w:val="22024C51"/>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8">
    <w:nsid w:val="23285FD0"/>
    <w:multiLevelType w:val="multilevel"/>
    <w:tmpl w:val="23285FD0"/>
    <w:lvl w:ilvl="0" w:tentative="0">
      <w:start w:val="0"/>
      <w:numFmt w:val="bullet"/>
      <w:lvlText w:val="-"/>
      <w:lvlJc w:val="left"/>
      <w:pPr>
        <w:ind w:left="720" w:hanging="360"/>
      </w:pPr>
      <w:rPr>
        <w:rFonts w:hint="default" w:ascii="Arial" w:hAnsi="Arial" w:eastAsia="Times New Roman" w:cs="Arial"/>
        <w:color w:val="auto"/>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3BE6538"/>
    <w:multiLevelType w:val="multilevel"/>
    <w:tmpl w:val="23BE6538"/>
    <w:lvl w:ilvl="0" w:tentative="0">
      <w:start w:val="1"/>
      <w:numFmt w:val="lowerLetter"/>
      <w:lvlText w:val="%1."/>
      <w:lvlJc w:val="left"/>
      <w:pPr>
        <w:ind w:left="6884" w:hanging="504"/>
      </w:pPr>
      <w:rPr>
        <w:rFonts w:hint="default" w:ascii="Arial" w:hAnsi="Arial" w:eastAsia="Times New Roman" w:cs="Arial"/>
        <w:spacing w:val="-1"/>
        <w:w w:val="100"/>
        <w:sz w:val="24"/>
        <w:szCs w:val="24"/>
        <w:lang w:val="en-US" w:eastAsia="en-US" w:bidi="en-US"/>
      </w:rPr>
    </w:lvl>
    <w:lvl w:ilvl="1" w:tentative="0">
      <w:start w:val="1"/>
      <w:numFmt w:val="decimal"/>
      <w:lvlText w:val="%2)"/>
      <w:lvlJc w:val="left"/>
      <w:pPr>
        <w:ind w:left="990" w:hanging="360"/>
      </w:pPr>
      <w:rPr>
        <w:rFonts w:hint="default" w:ascii="Arial" w:hAnsi="Arial" w:eastAsia="Times New Roman" w:cs="Arial"/>
        <w:spacing w:val="-17"/>
        <w:w w:val="100"/>
        <w:sz w:val="24"/>
        <w:szCs w:val="24"/>
        <w:lang w:val="en-US" w:eastAsia="en-US" w:bidi="en-US"/>
      </w:rPr>
    </w:lvl>
    <w:lvl w:ilvl="2" w:tentative="0">
      <w:start w:val="0"/>
      <w:numFmt w:val="bullet"/>
      <w:lvlText w:val="•"/>
      <w:lvlJc w:val="left"/>
      <w:pPr>
        <w:ind w:left="1140" w:hanging="360"/>
      </w:pPr>
      <w:rPr>
        <w:rFonts w:hint="default"/>
        <w:lang w:val="en-US" w:eastAsia="en-US" w:bidi="en-US"/>
      </w:rPr>
    </w:lvl>
    <w:lvl w:ilvl="3" w:tentative="0">
      <w:start w:val="0"/>
      <w:numFmt w:val="bullet"/>
      <w:lvlText w:val="•"/>
      <w:lvlJc w:val="left"/>
      <w:pPr>
        <w:ind w:left="2165" w:hanging="360"/>
      </w:pPr>
      <w:rPr>
        <w:rFonts w:hint="default"/>
        <w:lang w:val="en-US" w:eastAsia="en-US" w:bidi="en-US"/>
      </w:rPr>
    </w:lvl>
    <w:lvl w:ilvl="4" w:tentative="0">
      <w:start w:val="0"/>
      <w:numFmt w:val="bullet"/>
      <w:lvlText w:val="•"/>
      <w:lvlJc w:val="left"/>
      <w:pPr>
        <w:ind w:left="3191" w:hanging="360"/>
      </w:pPr>
      <w:rPr>
        <w:rFonts w:hint="default"/>
        <w:lang w:val="en-US" w:eastAsia="en-US" w:bidi="en-US"/>
      </w:rPr>
    </w:lvl>
    <w:lvl w:ilvl="5" w:tentative="0">
      <w:start w:val="0"/>
      <w:numFmt w:val="bullet"/>
      <w:lvlText w:val="•"/>
      <w:lvlJc w:val="left"/>
      <w:pPr>
        <w:ind w:left="4217" w:hanging="360"/>
      </w:pPr>
      <w:rPr>
        <w:rFonts w:hint="default"/>
        <w:lang w:val="en-US" w:eastAsia="en-US" w:bidi="en-US"/>
      </w:rPr>
    </w:lvl>
    <w:lvl w:ilvl="6" w:tentative="0">
      <w:start w:val="0"/>
      <w:numFmt w:val="bullet"/>
      <w:lvlText w:val="•"/>
      <w:lvlJc w:val="left"/>
      <w:pPr>
        <w:ind w:left="5243" w:hanging="360"/>
      </w:pPr>
      <w:rPr>
        <w:rFonts w:hint="default"/>
        <w:lang w:val="en-US" w:eastAsia="en-US" w:bidi="en-US"/>
      </w:rPr>
    </w:lvl>
    <w:lvl w:ilvl="7" w:tentative="0">
      <w:start w:val="0"/>
      <w:numFmt w:val="bullet"/>
      <w:lvlText w:val="•"/>
      <w:lvlJc w:val="left"/>
      <w:pPr>
        <w:ind w:left="6269" w:hanging="360"/>
      </w:pPr>
      <w:rPr>
        <w:rFonts w:hint="default"/>
        <w:lang w:val="en-US" w:eastAsia="en-US" w:bidi="en-US"/>
      </w:rPr>
    </w:lvl>
    <w:lvl w:ilvl="8" w:tentative="0">
      <w:start w:val="0"/>
      <w:numFmt w:val="bullet"/>
      <w:lvlText w:val="•"/>
      <w:lvlJc w:val="left"/>
      <w:pPr>
        <w:ind w:left="7294" w:hanging="360"/>
      </w:pPr>
      <w:rPr>
        <w:rFonts w:hint="default"/>
        <w:lang w:val="en-US" w:eastAsia="en-US" w:bidi="en-US"/>
      </w:rPr>
    </w:lvl>
  </w:abstractNum>
  <w:abstractNum w:abstractNumId="20">
    <w:nsid w:val="28EE76A9"/>
    <w:multiLevelType w:val="multilevel"/>
    <w:tmpl w:val="28EE76A9"/>
    <w:lvl w:ilvl="0" w:tentative="0">
      <w:start w:val="1"/>
      <w:numFmt w:val="decimal"/>
      <w:lvlText w:val="%1."/>
      <w:lvlJc w:val="left"/>
      <w:pPr>
        <w:tabs>
          <w:tab w:val="left" w:pos="720"/>
        </w:tabs>
        <w:ind w:left="720" w:hanging="360"/>
      </w:pPr>
      <w:rPr>
        <w:b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2AF51AE8"/>
    <w:multiLevelType w:val="singleLevel"/>
    <w:tmpl w:val="2AF51AE8"/>
    <w:lvl w:ilvl="0" w:tentative="0">
      <w:start w:val="1"/>
      <w:numFmt w:val="lowerLetter"/>
      <w:lvlText w:val="%1."/>
      <w:lvlJc w:val="left"/>
      <w:pPr>
        <w:tabs>
          <w:tab w:val="left" w:pos="425"/>
        </w:tabs>
        <w:ind w:left="425" w:hanging="425"/>
      </w:pPr>
      <w:rPr>
        <w:rFonts w:hint="default"/>
      </w:rPr>
    </w:lvl>
  </w:abstractNum>
  <w:abstractNum w:abstractNumId="22">
    <w:nsid w:val="2CD47000"/>
    <w:multiLevelType w:val="singleLevel"/>
    <w:tmpl w:val="2CD47000"/>
    <w:lvl w:ilvl="0" w:tentative="0">
      <w:start w:val="1"/>
      <w:numFmt w:val="upperLetter"/>
      <w:suff w:val="space"/>
      <w:lvlText w:val="%1."/>
      <w:lvlJc w:val="left"/>
    </w:lvl>
  </w:abstractNum>
  <w:abstractNum w:abstractNumId="23">
    <w:nsid w:val="362A3246"/>
    <w:multiLevelType w:val="multilevel"/>
    <w:tmpl w:val="362A3246"/>
    <w:lvl w:ilvl="0" w:tentative="0">
      <w:start w:val="1"/>
      <w:numFmt w:val="decimal"/>
      <w:lvlText w:val="%1."/>
      <w:lvlJc w:val="left"/>
      <w:pPr>
        <w:tabs>
          <w:tab w:val="left" w:pos="420"/>
        </w:tabs>
        <w:ind w:left="1140" w:hanging="360"/>
      </w:pPr>
    </w:lvl>
    <w:lvl w:ilvl="1" w:tentative="0">
      <w:start w:val="1"/>
      <w:numFmt w:val="lowerLetter"/>
      <w:lvlText w:val="%2."/>
      <w:lvlJc w:val="left"/>
      <w:pPr>
        <w:tabs>
          <w:tab w:val="left" w:pos="420"/>
        </w:tabs>
        <w:ind w:left="1860" w:hanging="360"/>
      </w:pPr>
    </w:lvl>
    <w:lvl w:ilvl="2" w:tentative="0">
      <w:start w:val="1"/>
      <w:numFmt w:val="lowerRoman"/>
      <w:lvlText w:val="%3."/>
      <w:lvlJc w:val="right"/>
      <w:pPr>
        <w:tabs>
          <w:tab w:val="left" w:pos="420"/>
        </w:tabs>
        <w:ind w:left="2580" w:hanging="180"/>
      </w:pPr>
    </w:lvl>
    <w:lvl w:ilvl="3" w:tentative="0">
      <w:start w:val="1"/>
      <w:numFmt w:val="decimal"/>
      <w:lvlText w:val="%4."/>
      <w:lvlJc w:val="left"/>
      <w:pPr>
        <w:tabs>
          <w:tab w:val="left" w:pos="420"/>
        </w:tabs>
        <w:ind w:left="3300" w:hanging="360"/>
      </w:pPr>
    </w:lvl>
    <w:lvl w:ilvl="4" w:tentative="0">
      <w:start w:val="1"/>
      <w:numFmt w:val="lowerLetter"/>
      <w:lvlText w:val="%5."/>
      <w:lvlJc w:val="left"/>
      <w:pPr>
        <w:tabs>
          <w:tab w:val="left" w:pos="420"/>
        </w:tabs>
        <w:ind w:left="4020" w:hanging="360"/>
      </w:pPr>
    </w:lvl>
    <w:lvl w:ilvl="5" w:tentative="0">
      <w:start w:val="1"/>
      <w:numFmt w:val="lowerRoman"/>
      <w:lvlText w:val="%6."/>
      <w:lvlJc w:val="right"/>
      <w:pPr>
        <w:tabs>
          <w:tab w:val="left" w:pos="420"/>
        </w:tabs>
        <w:ind w:left="4740" w:hanging="180"/>
      </w:pPr>
    </w:lvl>
    <w:lvl w:ilvl="6" w:tentative="0">
      <w:start w:val="1"/>
      <w:numFmt w:val="decimal"/>
      <w:lvlText w:val="%7."/>
      <w:lvlJc w:val="left"/>
      <w:pPr>
        <w:tabs>
          <w:tab w:val="left" w:pos="420"/>
        </w:tabs>
        <w:ind w:left="5460" w:hanging="360"/>
      </w:pPr>
    </w:lvl>
    <w:lvl w:ilvl="7" w:tentative="0">
      <w:start w:val="1"/>
      <w:numFmt w:val="lowerLetter"/>
      <w:lvlText w:val="%8."/>
      <w:lvlJc w:val="left"/>
      <w:pPr>
        <w:tabs>
          <w:tab w:val="left" w:pos="420"/>
        </w:tabs>
        <w:ind w:left="6180" w:hanging="360"/>
      </w:pPr>
    </w:lvl>
    <w:lvl w:ilvl="8" w:tentative="0">
      <w:start w:val="1"/>
      <w:numFmt w:val="lowerRoman"/>
      <w:lvlText w:val="%9."/>
      <w:lvlJc w:val="right"/>
      <w:pPr>
        <w:tabs>
          <w:tab w:val="left" w:pos="420"/>
        </w:tabs>
        <w:ind w:left="6900" w:hanging="180"/>
      </w:pPr>
    </w:lvl>
  </w:abstractNum>
  <w:abstractNum w:abstractNumId="24">
    <w:nsid w:val="45DD0254"/>
    <w:multiLevelType w:val="multilevel"/>
    <w:tmpl w:val="45DD0254"/>
    <w:lvl w:ilvl="0" w:tentative="0">
      <w:start w:val="1"/>
      <w:numFmt w:val="decimal"/>
      <w:lvlText w:val="%1."/>
      <w:lvlJc w:val="left"/>
      <w:pPr>
        <w:ind w:left="360" w:hanging="360"/>
      </w:pPr>
      <w:rPr>
        <w:b w:val="0"/>
      </w:rPr>
    </w:lvl>
    <w:lvl w:ilvl="1" w:tentative="0">
      <w:start w:val="1"/>
      <w:numFmt w:val="decimal"/>
      <w:lvlText w:val="%2."/>
      <w:lvlJc w:val="left"/>
      <w:pPr>
        <w:ind w:left="1080" w:hanging="360"/>
      </w:pPr>
      <w:rPr>
        <w:b w:val="0"/>
      </w:rPr>
    </w:lvl>
    <w:lvl w:ilvl="2" w:tentative="0">
      <w:start w:val="0"/>
      <w:numFmt w:val="bullet"/>
      <w:lvlText w:val="-"/>
      <w:lvlJc w:val="left"/>
      <w:pPr>
        <w:ind w:left="1800" w:hanging="180"/>
      </w:pPr>
      <w:rPr>
        <w:rFonts w:hint="default" w:ascii="Arial Narrow" w:hAnsi="Arial Narrow" w:eastAsia="Times New Roman" w:cs="Arial"/>
      </w:r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5">
    <w:nsid w:val="46044C9F"/>
    <w:multiLevelType w:val="multilevel"/>
    <w:tmpl w:val="46044C9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471B0BA1"/>
    <w:multiLevelType w:val="multilevel"/>
    <w:tmpl w:val="471B0BA1"/>
    <w:lvl w:ilvl="0" w:tentative="0">
      <w:start w:val="1"/>
      <w:numFmt w:val="decimal"/>
      <w:lvlText w:val="%1."/>
      <w:lvlJc w:val="left"/>
      <w:pPr>
        <w:tabs>
          <w:tab w:val="left" w:pos="720"/>
        </w:tabs>
        <w:ind w:left="720" w:hanging="360"/>
      </w:pPr>
      <w:rPr>
        <w:rFonts w:hint="default" w:cs="Times New Roman"/>
      </w:rPr>
    </w:lvl>
    <w:lvl w:ilvl="1" w:tentative="0">
      <w:start w:val="1"/>
      <w:numFmt w:val="decimal"/>
      <w:lvlText w:val="%2."/>
      <w:lvlJc w:val="left"/>
      <w:pPr>
        <w:tabs>
          <w:tab w:val="left" w:pos="1440"/>
        </w:tabs>
        <w:ind w:left="1440" w:hanging="360"/>
      </w:pPr>
      <w:rPr>
        <w:b w:val="0"/>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27">
    <w:nsid w:val="4A4579C8"/>
    <w:multiLevelType w:val="multilevel"/>
    <w:tmpl w:val="4A4579C8"/>
    <w:lvl w:ilvl="0" w:tentative="0">
      <w:start w:val="1"/>
      <w:numFmt w:val="lowerLetter"/>
      <w:lvlText w:val="%1."/>
      <w:lvlJc w:val="left"/>
      <w:pPr>
        <w:ind w:left="1262" w:hanging="360"/>
      </w:pPr>
      <w:rPr>
        <w:rFonts w:hint="default"/>
      </w:rPr>
    </w:lvl>
    <w:lvl w:ilvl="1" w:tentative="0">
      <w:start w:val="1"/>
      <w:numFmt w:val="lowerLetter"/>
      <w:lvlText w:val="%2."/>
      <w:lvlJc w:val="left"/>
      <w:pPr>
        <w:ind w:left="1982" w:hanging="360"/>
      </w:pPr>
    </w:lvl>
    <w:lvl w:ilvl="2" w:tentative="0">
      <w:start w:val="1"/>
      <w:numFmt w:val="lowerRoman"/>
      <w:lvlText w:val="%3."/>
      <w:lvlJc w:val="right"/>
      <w:pPr>
        <w:ind w:left="2702" w:hanging="180"/>
      </w:pPr>
    </w:lvl>
    <w:lvl w:ilvl="3" w:tentative="0">
      <w:start w:val="1"/>
      <w:numFmt w:val="decimal"/>
      <w:lvlText w:val="%4."/>
      <w:lvlJc w:val="left"/>
      <w:pPr>
        <w:ind w:left="3422" w:hanging="360"/>
      </w:pPr>
    </w:lvl>
    <w:lvl w:ilvl="4" w:tentative="0">
      <w:start w:val="1"/>
      <w:numFmt w:val="lowerLetter"/>
      <w:lvlText w:val="%5."/>
      <w:lvlJc w:val="left"/>
      <w:pPr>
        <w:ind w:left="4142" w:hanging="360"/>
      </w:pPr>
    </w:lvl>
    <w:lvl w:ilvl="5" w:tentative="0">
      <w:start w:val="1"/>
      <w:numFmt w:val="lowerRoman"/>
      <w:lvlText w:val="%6."/>
      <w:lvlJc w:val="right"/>
      <w:pPr>
        <w:ind w:left="4862" w:hanging="180"/>
      </w:pPr>
    </w:lvl>
    <w:lvl w:ilvl="6" w:tentative="0">
      <w:start w:val="1"/>
      <w:numFmt w:val="decimal"/>
      <w:lvlText w:val="%7."/>
      <w:lvlJc w:val="left"/>
      <w:pPr>
        <w:ind w:left="5582" w:hanging="360"/>
      </w:pPr>
    </w:lvl>
    <w:lvl w:ilvl="7" w:tentative="0">
      <w:start w:val="1"/>
      <w:numFmt w:val="lowerLetter"/>
      <w:lvlText w:val="%8."/>
      <w:lvlJc w:val="left"/>
      <w:pPr>
        <w:ind w:left="6302" w:hanging="360"/>
      </w:pPr>
    </w:lvl>
    <w:lvl w:ilvl="8" w:tentative="0">
      <w:start w:val="1"/>
      <w:numFmt w:val="lowerRoman"/>
      <w:lvlText w:val="%9."/>
      <w:lvlJc w:val="right"/>
      <w:pPr>
        <w:ind w:left="7022" w:hanging="180"/>
      </w:pPr>
    </w:lvl>
  </w:abstractNum>
  <w:abstractNum w:abstractNumId="28">
    <w:nsid w:val="4AA97B26"/>
    <w:multiLevelType w:val="multilevel"/>
    <w:tmpl w:val="4AA97B26"/>
    <w:lvl w:ilvl="0" w:tentative="0">
      <w:start w:val="1"/>
      <w:numFmt w:val="decimal"/>
      <w:lvlText w:val="%1."/>
      <w:lvlJc w:val="left"/>
      <w:pPr>
        <w:ind w:left="1069" w:hanging="360"/>
      </w:pPr>
      <w:rPr>
        <w:rFonts w:hint="default"/>
        <w:b w:val="0"/>
      </w:rPr>
    </w:lvl>
    <w:lvl w:ilvl="1" w:tentative="0">
      <w:start w:val="1"/>
      <w:numFmt w:val="lowerLetter"/>
      <w:lvlText w:val="%2."/>
      <w:lvlJc w:val="left"/>
      <w:pPr>
        <w:ind w:left="2149" w:hanging="360"/>
      </w:pPr>
      <w:rPr>
        <w:color w:val="000000"/>
      </w:rPr>
    </w:lvl>
    <w:lvl w:ilvl="2" w:tentative="0">
      <w:start w:val="1"/>
      <w:numFmt w:val="bullet"/>
      <w:lvlText w:val=""/>
      <w:lvlJc w:val="left"/>
      <w:pPr>
        <w:ind w:left="2869" w:hanging="180"/>
      </w:pPr>
      <w:rPr>
        <w:rFonts w:hint="default" w:ascii="Symbol" w:hAnsi="Symbol"/>
      </w:r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29">
    <w:nsid w:val="52D16315"/>
    <w:multiLevelType w:val="multilevel"/>
    <w:tmpl w:val="52D1631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54A7D2E8"/>
    <w:multiLevelType w:val="singleLevel"/>
    <w:tmpl w:val="54A7D2E8"/>
    <w:lvl w:ilvl="0" w:tentative="0">
      <w:start w:val="1"/>
      <w:numFmt w:val="lowerLetter"/>
      <w:lvlText w:val="%1."/>
      <w:lvlJc w:val="left"/>
      <w:pPr>
        <w:tabs>
          <w:tab w:val="left" w:pos="425"/>
        </w:tabs>
        <w:ind w:left="425" w:leftChars="0" w:hanging="425" w:firstLineChars="0"/>
      </w:pPr>
      <w:rPr>
        <w:rFonts w:hint="default"/>
      </w:rPr>
    </w:lvl>
  </w:abstractNum>
  <w:abstractNum w:abstractNumId="31">
    <w:nsid w:val="54FDCF1A"/>
    <w:multiLevelType w:val="singleLevel"/>
    <w:tmpl w:val="54FDCF1A"/>
    <w:lvl w:ilvl="0" w:tentative="0">
      <w:start w:val="1"/>
      <w:numFmt w:val="lowerLetter"/>
      <w:lvlText w:val="%1."/>
      <w:lvlJc w:val="left"/>
      <w:pPr>
        <w:tabs>
          <w:tab w:val="left" w:pos="425"/>
        </w:tabs>
        <w:ind w:left="425" w:hanging="425"/>
      </w:pPr>
      <w:rPr>
        <w:rFonts w:hint="default"/>
      </w:rPr>
    </w:lvl>
  </w:abstractNum>
  <w:abstractNum w:abstractNumId="32">
    <w:nsid w:val="57802419"/>
    <w:multiLevelType w:val="multilevel"/>
    <w:tmpl w:val="57802419"/>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57F64175"/>
    <w:multiLevelType w:val="multilevel"/>
    <w:tmpl w:val="57F64175"/>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58EE6FAC"/>
    <w:multiLevelType w:val="multilevel"/>
    <w:tmpl w:val="58EE6FAC"/>
    <w:lvl w:ilvl="0" w:tentative="0">
      <w:start w:val="1"/>
      <w:numFmt w:val="lowerLetter"/>
      <w:lvlText w:val="%1."/>
      <w:lvlJc w:val="left"/>
      <w:pPr>
        <w:ind w:left="2624" w:hanging="360"/>
      </w:pPr>
      <w:rPr>
        <w:rFonts w:hint="default"/>
      </w:rPr>
    </w:lvl>
    <w:lvl w:ilvl="1" w:tentative="0">
      <w:start w:val="1"/>
      <w:numFmt w:val="lowerLetter"/>
      <w:lvlText w:val="%2."/>
      <w:lvlJc w:val="left"/>
      <w:pPr>
        <w:ind w:left="3344" w:hanging="360"/>
      </w:pPr>
    </w:lvl>
    <w:lvl w:ilvl="2" w:tentative="0">
      <w:start w:val="1"/>
      <w:numFmt w:val="lowerRoman"/>
      <w:lvlText w:val="%3."/>
      <w:lvlJc w:val="right"/>
      <w:pPr>
        <w:ind w:left="4064" w:hanging="180"/>
      </w:pPr>
    </w:lvl>
    <w:lvl w:ilvl="3" w:tentative="0">
      <w:start w:val="1"/>
      <w:numFmt w:val="decimal"/>
      <w:lvlText w:val="%4."/>
      <w:lvlJc w:val="left"/>
      <w:pPr>
        <w:ind w:left="4784" w:hanging="360"/>
      </w:pPr>
    </w:lvl>
    <w:lvl w:ilvl="4" w:tentative="0">
      <w:start w:val="1"/>
      <w:numFmt w:val="lowerLetter"/>
      <w:lvlText w:val="%5."/>
      <w:lvlJc w:val="left"/>
      <w:pPr>
        <w:ind w:left="5504" w:hanging="360"/>
      </w:pPr>
    </w:lvl>
    <w:lvl w:ilvl="5" w:tentative="0">
      <w:start w:val="1"/>
      <w:numFmt w:val="lowerRoman"/>
      <w:lvlText w:val="%6."/>
      <w:lvlJc w:val="right"/>
      <w:pPr>
        <w:ind w:left="6224" w:hanging="180"/>
      </w:pPr>
    </w:lvl>
    <w:lvl w:ilvl="6" w:tentative="0">
      <w:start w:val="1"/>
      <w:numFmt w:val="decimal"/>
      <w:lvlText w:val="%7."/>
      <w:lvlJc w:val="left"/>
      <w:pPr>
        <w:ind w:left="6944" w:hanging="360"/>
      </w:pPr>
    </w:lvl>
    <w:lvl w:ilvl="7" w:tentative="0">
      <w:start w:val="1"/>
      <w:numFmt w:val="lowerLetter"/>
      <w:lvlText w:val="%8."/>
      <w:lvlJc w:val="left"/>
      <w:pPr>
        <w:ind w:left="7664" w:hanging="360"/>
      </w:pPr>
    </w:lvl>
    <w:lvl w:ilvl="8" w:tentative="0">
      <w:start w:val="1"/>
      <w:numFmt w:val="lowerRoman"/>
      <w:lvlText w:val="%9."/>
      <w:lvlJc w:val="right"/>
      <w:pPr>
        <w:ind w:left="8384" w:hanging="180"/>
      </w:pPr>
    </w:lvl>
  </w:abstractNum>
  <w:abstractNum w:abstractNumId="35">
    <w:nsid w:val="5B7D1FA4"/>
    <w:multiLevelType w:val="multilevel"/>
    <w:tmpl w:val="5B7D1FA4"/>
    <w:lvl w:ilvl="0" w:tentative="0">
      <w:start w:val="1"/>
      <w:numFmt w:val="upperLetter"/>
      <w:lvlText w:val="%1."/>
      <w:lvlJc w:val="left"/>
      <w:pPr>
        <w:tabs>
          <w:tab w:val="left" w:pos="180"/>
        </w:tabs>
        <w:ind w:left="180" w:hanging="360"/>
      </w:pPr>
      <w:rPr>
        <w:rFonts w:hint="default"/>
      </w:rPr>
    </w:lvl>
    <w:lvl w:ilvl="1" w:tentative="0">
      <w:start w:val="1"/>
      <w:numFmt w:val="decimal"/>
      <w:lvlText w:val="%2."/>
      <w:lvlJc w:val="left"/>
      <w:pPr>
        <w:tabs>
          <w:tab w:val="left" w:pos="900"/>
        </w:tabs>
        <w:ind w:left="900" w:hanging="360"/>
      </w:pPr>
      <w:rPr>
        <w:rFonts w:hint="default"/>
      </w:rPr>
    </w:lvl>
    <w:lvl w:ilvl="2" w:tentative="0">
      <w:start w:val="1"/>
      <w:numFmt w:val="decimal"/>
      <w:lvlText w:val="%3)"/>
      <w:lvlJc w:val="left"/>
      <w:pPr>
        <w:tabs>
          <w:tab w:val="left" w:pos="1800"/>
        </w:tabs>
        <w:ind w:left="1800" w:hanging="360"/>
      </w:pPr>
      <w:rPr>
        <w:rFonts w:hint="default"/>
      </w:rPr>
    </w:lvl>
    <w:lvl w:ilvl="3" w:tentative="0">
      <w:start w:val="1"/>
      <w:numFmt w:val="decimal"/>
      <w:lvlText w:val="%4."/>
      <w:lvlJc w:val="left"/>
      <w:pPr>
        <w:tabs>
          <w:tab w:val="left" w:pos="2340"/>
        </w:tabs>
        <w:ind w:left="2340" w:hanging="360"/>
      </w:pPr>
    </w:lvl>
    <w:lvl w:ilvl="4" w:tentative="0">
      <w:start w:val="1"/>
      <w:numFmt w:val="lowerLetter"/>
      <w:lvlText w:val="%5."/>
      <w:lvlJc w:val="left"/>
      <w:pPr>
        <w:tabs>
          <w:tab w:val="left" w:pos="3060"/>
        </w:tabs>
        <w:ind w:left="3060" w:hanging="360"/>
      </w:pPr>
      <w:rPr>
        <w:rFonts w:hint="default"/>
        <w:b w:val="0"/>
        <w:sz w:val="24"/>
        <w:szCs w:val="24"/>
      </w:rPr>
    </w:lvl>
    <w:lvl w:ilvl="5" w:tentative="0">
      <w:start w:val="1"/>
      <w:numFmt w:val="lowerRoman"/>
      <w:lvlText w:val="%6."/>
      <w:lvlJc w:val="right"/>
      <w:pPr>
        <w:tabs>
          <w:tab w:val="left" w:pos="3780"/>
        </w:tabs>
        <w:ind w:left="3780" w:hanging="180"/>
      </w:pPr>
    </w:lvl>
    <w:lvl w:ilvl="6" w:tentative="0">
      <w:start w:val="1"/>
      <w:numFmt w:val="decimal"/>
      <w:lvlText w:val="%7."/>
      <w:lvlJc w:val="left"/>
      <w:pPr>
        <w:tabs>
          <w:tab w:val="left" w:pos="4500"/>
        </w:tabs>
        <w:ind w:left="4500" w:hanging="360"/>
      </w:pPr>
    </w:lvl>
    <w:lvl w:ilvl="7" w:tentative="0">
      <w:start w:val="1"/>
      <w:numFmt w:val="lowerLetter"/>
      <w:lvlText w:val="%8."/>
      <w:lvlJc w:val="left"/>
      <w:pPr>
        <w:tabs>
          <w:tab w:val="left" w:pos="5220"/>
        </w:tabs>
        <w:ind w:left="5220" w:hanging="360"/>
      </w:pPr>
    </w:lvl>
    <w:lvl w:ilvl="8" w:tentative="0">
      <w:start w:val="1"/>
      <w:numFmt w:val="lowerRoman"/>
      <w:lvlText w:val="%9."/>
      <w:lvlJc w:val="right"/>
      <w:pPr>
        <w:tabs>
          <w:tab w:val="left" w:pos="5940"/>
        </w:tabs>
        <w:ind w:left="5940" w:hanging="180"/>
      </w:pPr>
    </w:lvl>
  </w:abstractNum>
  <w:abstractNum w:abstractNumId="36">
    <w:nsid w:val="5D2815BC"/>
    <w:multiLevelType w:val="multilevel"/>
    <w:tmpl w:val="5D2815BC"/>
    <w:lvl w:ilvl="0" w:tentative="0">
      <w:start w:val="1"/>
      <w:numFmt w:val="decimal"/>
      <w:lvlText w:val="%1."/>
      <w:lvlJc w:val="left"/>
      <w:pPr>
        <w:tabs>
          <w:tab w:val="left" w:pos="720"/>
        </w:tabs>
        <w:ind w:left="720" w:hanging="360"/>
      </w:pPr>
      <w:rPr>
        <w:rFonts w:hint="default" w:cs="Times New Roman"/>
      </w:rPr>
    </w:lvl>
    <w:lvl w:ilvl="1" w:tentative="0">
      <w:start w:val="1"/>
      <w:numFmt w:val="decimal"/>
      <w:lvlText w:val="%2."/>
      <w:lvlJc w:val="left"/>
      <w:pPr>
        <w:tabs>
          <w:tab w:val="left" w:pos="1440"/>
        </w:tabs>
        <w:ind w:left="1440" w:hanging="360"/>
      </w:pPr>
      <w:rPr>
        <w:b w:val="0"/>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37">
    <w:nsid w:val="5E274CED"/>
    <w:multiLevelType w:val="multilevel"/>
    <w:tmpl w:val="5E274CED"/>
    <w:lvl w:ilvl="0" w:tentative="0">
      <w:start w:val="1"/>
      <w:numFmt w:val="lowerLetter"/>
      <w:lvlText w:val="%1."/>
      <w:lvlJc w:val="left"/>
      <w:pPr>
        <w:tabs>
          <w:tab w:val="left" w:pos="900"/>
        </w:tabs>
        <w:ind w:left="900" w:hanging="360"/>
      </w:pPr>
      <w:rPr>
        <w:rFonts w:cs="Times New Roman"/>
      </w:rPr>
    </w:lvl>
    <w:lvl w:ilvl="1" w:tentative="0">
      <w:start w:val="1"/>
      <w:numFmt w:val="lowerLetter"/>
      <w:lvlText w:val="%2."/>
      <w:lvlJc w:val="left"/>
      <w:pPr>
        <w:tabs>
          <w:tab w:val="left" w:pos="-1080"/>
        </w:tabs>
        <w:ind w:left="-1080" w:hanging="360"/>
      </w:pPr>
      <w:rPr>
        <w:rFonts w:cs="Times New Roman"/>
      </w:rPr>
    </w:lvl>
    <w:lvl w:ilvl="2" w:tentative="0">
      <w:start w:val="1"/>
      <w:numFmt w:val="lowerRoman"/>
      <w:lvlText w:val="%3."/>
      <w:lvlJc w:val="right"/>
      <w:pPr>
        <w:tabs>
          <w:tab w:val="left" w:pos="-360"/>
        </w:tabs>
        <w:ind w:left="-360" w:hanging="180"/>
      </w:pPr>
      <w:rPr>
        <w:rFonts w:cs="Times New Roman"/>
      </w:rPr>
    </w:lvl>
    <w:lvl w:ilvl="3" w:tentative="0">
      <w:start w:val="1"/>
      <w:numFmt w:val="decimal"/>
      <w:lvlText w:val="%4."/>
      <w:lvlJc w:val="left"/>
      <w:pPr>
        <w:tabs>
          <w:tab w:val="left" w:pos="360"/>
        </w:tabs>
        <w:ind w:left="360" w:hanging="360"/>
      </w:pPr>
      <w:rPr>
        <w:rFonts w:cs="Times New Roman"/>
      </w:rPr>
    </w:lvl>
    <w:lvl w:ilvl="4" w:tentative="0">
      <w:start w:val="1"/>
      <w:numFmt w:val="lowerLetter"/>
      <w:lvlText w:val="%5."/>
      <w:lvlJc w:val="left"/>
      <w:pPr>
        <w:tabs>
          <w:tab w:val="left" w:pos="1080"/>
        </w:tabs>
        <w:ind w:left="1080" w:hanging="360"/>
      </w:pPr>
      <w:rPr>
        <w:rFonts w:cs="Times New Roman"/>
      </w:rPr>
    </w:lvl>
    <w:lvl w:ilvl="5" w:tentative="0">
      <w:start w:val="1"/>
      <w:numFmt w:val="lowerRoman"/>
      <w:lvlText w:val="%6."/>
      <w:lvlJc w:val="right"/>
      <w:pPr>
        <w:tabs>
          <w:tab w:val="left" w:pos="1800"/>
        </w:tabs>
        <w:ind w:left="1800" w:hanging="180"/>
      </w:pPr>
      <w:rPr>
        <w:rFonts w:cs="Times New Roman"/>
      </w:rPr>
    </w:lvl>
    <w:lvl w:ilvl="6" w:tentative="0">
      <w:start w:val="1"/>
      <w:numFmt w:val="decimal"/>
      <w:lvlText w:val="%7."/>
      <w:lvlJc w:val="left"/>
      <w:pPr>
        <w:tabs>
          <w:tab w:val="left" w:pos="2520"/>
        </w:tabs>
        <w:ind w:left="2520" w:hanging="360"/>
      </w:pPr>
      <w:rPr>
        <w:rFonts w:cs="Times New Roman"/>
      </w:rPr>
    </w:lvl>
    <w:lvl w:ilvl="7" w:tentative="0">
      <w:start w:val="1"/>
      <w:numFmt w:val="lowerLetter"/>
      <w:lvlText w:val="%8."/>
      <w:lvlJc w:val="left"/>
      <w:pPr>
        <w:tabs>
          <w:tab w:val="left" w:pos="3240"/>
        </w:tabs>
        <w:ind w:left="3240" w:hanging="360"/>
      </w:pPr>
      <w:rPr>
        <w:rFonts w:cs="Times New Roman"/>
      </w:rPr>
    </w:lvl>
    <w:lvl w:ilvl="8" w:tentative="0">
      <w:start w:val="1"/>
      <w:numFmt w:val="lowerRoman"/>
      <w:lvlText w:val="%9."/>
      <w:lvlJc w:val="right"/>
      <w:pPr>
        <w:tabs>
          <w:tab w:val="left" w:pos="3960"/>
        </w:tabs>
        <w:ind w:left="3960" w:hanging="180"/>
      </w:pPr>
      <w:rPr>
        <w:rFonts w:cs="Times New Roman"/>
      </w:rPr>
    </w:lvl>
  </w:abstractNum>
  <w:abstractNum w:abstractNumId="38">
    <w:nsid w:val="5EA5301B"/>
    <w:multiLevelType w:val="multilevel"/>
    <w:tmpl w:val="5EA5301B"/>
    <w:lvl w:ilvl="0" w:tentative="0">
      <w:start w:val="2"/>
      <w:numFmt w:val="decimal"/>
      <w:lvlText w:val="%1."/>
      <w:lvlJc w:val="left"/>
      <w:pPr>
        <w:tabs>
          <w:tab w:val="left" w:pos="360"/>
        </w:tabs>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5F580322"/>
    <w:multiLevelType w:val="multilevel"/>
    <w:tmpl w:val="5F580322"/>
    <w:lvl w:ilvl="0" w:tentative="0">
      <w:start w:val="1"/>
      <w:numFmt w:val="decimal"/>
      <w:lvlText w:val="%1."/>
      <w:lvlJc w:val="left"/>
      <w:pPr>
        <w:ind w:left="904" w:hanging="360"/>
      </w:pPr>
      <w:rPr>
        <w:rFonts w:hint="default"/>
      </w:rPr>
    </w:lvl>
    <w:lvl w:ilvl="1" w:tentative="0">
      <w:start w:val="1"/>
      <w:numFmt w:val="lowerLetter"/>
      <w:lvlText w:val="%2."/>
      <w:lvlJc w:val="left"/>
      <w:pPr>
        <w:ind w:left="1624" w:hanging="360"/>
      </w:pPr>
    </w:lvl>
    <w:lvl w:ilvl="2" w:tentative="0">
      <w:start w:val="1"/>
      <w:numFmt w:val="lowerRoman"/>
      <w:lvlText w:val="%3."/>
      <w:lvlJc w:val="right"/>
      <w:pPr>
        <w:ind w:left="2344" w:hanging="180"/>
      </w:pPr>
    </w:lvl>
    <w:lvl w:ilvl="3" w:tentative="0">
      <w:start w:val="1"/>
      <w:numFmt w:val="decimal"/>
      <w:lvlText w:val="%4."/>
      <w:lvlJc w:val="left"/>
      <w:pPr>
        <w:ind w:left="3064" w:hanging="360"/>
      </w:pPr>
    </w:lvl>
    <w:lvl w:ilvl="4" w:tentative="0">
      <w:start w:val="1"/>
      <w:numFmt w:val="lowerLetter"/>
      <w:lvlText w:val="%5."/>
      <w:lvlJc w:val="left"/>
      <w:pPr>
        <w:ind w:left="3784" w:hanging="360"/>
      </w:pPr>
    </w:lvl>
    <w:lvl w:ilvl="5" w:tentative="0">
      <w:start w:val="1"/>
      <w:numFmt w:val="lowerRoman"/>
      <w:lvlText w:val="%6."/>
      <w:lvlJc w:val="right"/>
      <w:pPr>
        <w:ind w:left="4504" w:hanging="180"/>
      </w:pPr>
    </w:lvl>
    <w:lvl w:ilvl="6" w:tentative="0">
      <w:start w:val="1"/>
      <w:numFmt w:val="decimal"/>
      <w:lvlText w:val="%7."/>
      <w:lvlJc w:val="left"/>
      <w:pPr>
        <w:ind w:left="5224" w:hanging="360"/>
      </w:pPr>
    </w:lvl>
    <w:lvl w:ilvl="7" w:tentative="0">
      <w:start w:val="1"/>
      <w:numFmt w:val="lowerLetter"/>
      <w:lvlText w:val="%8."/>
      <w:lvlJc w:val="left"/>
      <w:pPr>
        <w:ind w:left="5944" w:hanging="360"/>
      </w:pPr>
    </w:lvl>
    <w:lvl w:ilvl="8" w:tentative="0">
      <w:start w:val="1"/>
      <w:numFmt w:val="lowerRoman"/>
      <w:lvlText w:val="%9."/>
      <w:lvlJc w:val="right"/>
      <w:pPr>
        <w:ind w:left="6664" w:hanging="180"/>
      </w:pPr>
    </w:lvl>
  </w:abstractNum>
  <w:abstractNum w:abstractNumId="40">
    <w:nsid w:val="5FED4C68"/>
    <w:multiLevelType w:val="multilevel"/>
    <w:tmpl w:val="5FED4C68"/>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617A2C7F"/>
    <w:multiLevelType w:val="singleLevel"/>
    <w:tmpl w:val="617A2C7F"/>
    <w:lvl w:ilvl="0" w:tentative="0">
      <w:start w:val="1"/>
      <w:numFmt w:val="lowerLetter"/>
      <w:lvlText w:val="%1."/>
      <w:lvlJc w:val="left"/>
      <w:pPr>
        <w:tabs>
          <w:tab w:val="left" w:pos="425"/>
        </w:tabs>
        <w:ind w:left="425" w:hanging="425"/>
      </w:pPr>
      <w:rPr>
        <w:rFonts w:hint="default"/>
      </w:rPr>
    </w:lvl>
  </w:abstractNum>
  <w:abstractNum w:abstractNumId="42">
    <w:nsid w:val="66260275"/>
    <w:multiLevelType w:val="multilevel"/>
    <w:tmpl w:val="6626027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3">
    <w:nsid w:val="6B864A8D"/>
    <w:multiLevelType w:val="multilevel"/>
    <w:tmpl w:val="6B864A8D"/>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4">
    <w:nsid w:val="6E083C36"/>
    <w:multiLevelType w:val="singleLevel"/>
    <w:tmpl w:val="6E083C36"/>
    <w:lvl w:ilvl="0" w:tentative="0">
      <w:start w:val="1"/>
      <w:numFmt w:val="lowerLetter"/>
      <w:lvlText w:val="%1."/>
      <w:lvlJc w:val="left"/>
      <w:pPr>
        <w:tabs>
          <w:tab w:val="left" w:pos="425"/>
        </w:tabs>
        <w:ind w:left="425" w:hanging="425"/>
      </w:pPr>
      <w:rPr>
        <w:rFonts w:hint="default"/>
      </w:rPr>
    </w:lvl>
  </w:abstractNum>
  <w:abstractNum w:abstractNumId="45">
    <w:nsid w:val="6F8C2C1E"/>
    <w:multiLevelType w:val="multilevel"/>
    <w:tmpl w:val="6F8C2C1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749D794A"/>
    <w:multiLevelType w:val="multilevel"/>
    <w:tmpl w:val="749D794A"/>
    <w:lvl w:ilvl="0" w:tentative="0">
      <w:start w:val="1"/>
      <w:numFmt w:val="upp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7">
    <w:nsid w:val="75790D50"/>
    <w:multiLevelType w:val="singleLevel"/>
    <w:tmpl w:val="75790D50"/>
    <w:lvl w:ilvl="0" w:tentative="0">
      <w:start w:val="1"/>
      <w:numFmt w:val="lowerLetter"/>
      <w:lvlText w:val="%1."/>
      <w:lvlJc w:val="left"/>
      <w:pPr>
        <w:tabs>
          <w:tab w:val="left" w:pos="425"/>
        </w:tabs>
        <w:ind w:left="425" w:hanging="425"/>
      </w:pPr>
      <w:rPr>
        <w:rFonts w:hint="default"/>
      </w:rPr>
    </w:lvl>
  </w:abstractNum>
  <w:abstractNum w:abstractNumId="48">
    <w:nsid w:val="790D4AB6"/>
    <w:multiLevelType w:val="multilevel"/>
    <w:tmpl w:val="790D4AB6"/>
    <w:lvl w:ilvl="0" w:tentative="0">
      <w:start w:val="5"/>
      <w:numFmt w:val="decimal"/>
      <w:lvlText w:val="%1."/>
      <w:lvlJc w:val="left"/>
      <w:pPr>
        <w:tabs>
          <w:tab w:val="left" w:pos="720"/>
        </w:tabs>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793381F4"/>
    <w:multiLevelType w:val="singleLevel"/>
    <w:tmpl w:val="793381F4"/>
    <w:lvl w:ilvl="0" w:tentative="0">
      <w:start w:val="1"/>
      <w:numFmt w:val="decimal"/>
      <w:suff w:val="space"/>
      <w:lvlText w:val="%1."/>
      <w:lvlJc w:val="left"/>
    </w:lvl>
  </w:abstractNum>
  <w:abstractNum w:abstractNumId="50">
    <w:nsid w:val="79AE5C74"/>
    <w:multiLevelType w:val="multilevel"/>
    <w:tmpl w:val="79AE5C74"/>
    <w:lvl w:ilvl="0" w:tentative="0">
      <w:start w:val="1"/>
      <w:numFmt w:val="lowerLetter"/>
      <w:lvlText w:val="%1."/>
      <w:lvlJc w:val="left"/>
      <w:pPr>
        <w:tabs>
          <w:tab w:val="left" w:pos="1211"/>
        </w:tabs>
        <w:ind w:left="1211" w:hanging="360"/>
      </w:pPr>
      <w:rPr>
        <w:rFonts w:hint="default"/>
      </w:rPr>
    </w:lvl>
    <w:lvl w:ilvl="1" w:tentative="0">
      <w:start w:val="1"/>
      <w:numFmt w:val="decimal"/>
      <w:lvlText w:val="%2."/>
      <w:lvlJc w:val="left"/>
      <w:pPr>
        <w:tabs>
          <w:tab w:val="left" w:pos="1931"/>
        </w:tabs>
        <w:ind w:left="1931" w:hanging="360"/>
      </w:pPr>
      <w:rPr>
        <w:rFonts w:hint="default"/>
        <w:color w:val="000000"/>
      </w:rPr>
    </w:lvl>
    <w:lvl w:ilvl="2" w:tentative="0">
      <w:start w:val="1"/>
      <w:numFmt w:val="lowerLetter"/>
      <w:lvlText w:val="%3."/>
      <w:lvlJc w:val="left"/>
      <w:pPr>
        <w:tabs>
          <w:tab w:val="left" w:pos="2831"/>
        </w:tabs>
        <w:ind w:left="2831" w:hanging="360"/>
      </w:pPr>
      <w:rPr>
        <w:rFonts w:hint="default"/>
      </w:rPr>
    </w:lvl>
    <w:lvl w:ilvl="3" w:tentative="0">
      <w:start w:val="1"/>
      <w:numFmt w:val="decimal"/>
      <w:lvlText w:val="%4."/>
      <w:lvlJc w:val="left"/>
      <w:pPr>
        <w:tabs>
          <w:tab w:val="left" w:pos="3371"/>
        </w:tabs>
        <w:ind w:left="3371" w:hanging="360"/>
      </w:pPr>
    </w:lvl>
    <w:lvl w:ilvl="4" w:tentative="0">
      <w:start w:val="1"/>
      <w:numFmt w:val="lowerLetter"/>
      <w:lvlText w:val="%5."/>
      <w:lvlJc w:val="left"/>
      <w:pPr>
        <w:tabs>
          <w:tab w:val="left" w:pos="4091"/>
        </w:tabs>
        <w:ind w:left="4091" w:hanging="360"/>
      </w:pPr>
    </w:lvl>
    <w:lvl w:ilvl="5" w:tentative="0">
      <w:start w:val="1"/>
      <w:numFmt w:val="lowerRoman"/>
      <w:lvlText w:val="%6."/>
      <w:lvlJc w:val="right"/>
      <w:pPr>
        <w:tabs>
          <w:tab w:val="left" w:pos="4811"/>
        </w:tabs>
        <w:ind w:left="4811" w:hanging="180"/>
      </w:pPr>
    </w:lvl>
    <w:lvl w:ilvl="6" w:tentative="0">
      <w:start w:val="1"/>
      <w:numFmt w:val="decimal"/>
      <w:lvlText w:val="%7."/>
      <w:lvlJc w:val="left"/>
      <w:pPr>
        <w:tabs>
          <w:tab w:val="left" w:pos="5531"/>
        </w:tabs>
        <w:ind w:left="5531" w:hanging="360"/>
      </w:pPr>
    </w:lvl>
    <w:lvl w:ilvl="7" w:tentative="0">
      <w:start w:val="1"/>
      <w:numFmt w:val="lowerLetter"/>
      <w:lvlText w:val="%8."/>
      <w:lvlJc w:val="left"/>
      <w:pPr>
        <w:tabs>
          <w:tab w:val="left" w:pos="6251"/>
        </w:tabs>
        <w:ind w:left="6251" w:hanging="360"/>
      </w:pPr>
    </w:lvl>
    <w:lvl w:ilvl="8" w:tentative="0">
      <w:start w:val="1"/>
      <w:numFmt w:val="lowerRoman"/>
      <w:lvlText w:val="%9."/>
      <w:lvlJc w:val="right"/>
      <w:pPr>
        <w:tabs>
          <w:tab w:val="left" w:pos="6971"/>
        </w:tabs>
        <w:ind w:left="6971" w:hanging="180"/>
      </w:pPr>
    </w:lvl>
  </w:abstractNum>
  <w:abstractNum w:abstractNumId="51">
    <w:nsid w:val="7AAB3D95"/>
    <w:multiLevelType w:val="singleLevel"/>
    <w:tmpl w:val="7AAB3D95"/>
    <w:lvl w:ilvl="0" w:tentative="0">
      <w:start w:val="1"/>
      <w:numFmt w:val="lowerLetter"/>
      <w:lvlText w:val="%1."/>
      <w:lvlJc w:val="left"/>
      <w:pPr>
        <w:tabs>
          <w:tab w:val="left" w:pos="425"/>
        </w:tabs>
        <w:ind w:left="425" w:leftChars="0" w:hanging="425" w:firstLineChars="0"/>
      </w:pPr>
      <w:rPr>
        <w:rFonts w:hint="default"/>
      </w:rPr>
    </w:lvl>
  </w:abstractNum>
  <w:abstractNum w:abstractNumId="52">
    <w:nsid w:val="7D271EFD"/>
    <w:multiLevelType w:val="multilevel"/>
    <w:tmpl w:val="7D271EFD"/>
    <w:lvl w:ilvl="0" w:tentative="0">
      <w:start w:val="1"/>
      <w:numFmt w:val="bullet"/>
      <w:lvlText w:val="-"/>
      <w:lvlJc w:val="left"/>
      <w:pPr>
        <w:ind w:left="1240" w:hanging="360"/>
      </w:pPr>
      <w:rPr>
        <w:rFonts w:hint="default" w:ascii="Tahoma" w:hAnsi="Tahoma" w:eastAsia="Calibri" w:cs="Tahoma"/>
      </w:rPr>
    </w:lvl>
    <w:lvl w:ilvl="1" w:tentative="0">
      <w:start w:val="1"/>
      <w:numFmt w:val="bullet"/>
      <w:lvlText w:val="o"/>
      <w:lvlJc w:val="left"/>
      <w:pPr>
        <w:ind w:left="1960" w:hanging="360"/>
      </w:pPr>
      <w:rPr>
        <w:rFonts w:hint="default" w:ascii="Courier New" w:hAnsi="Courier New" w:cs="Courier New"/>
      </w:rPr>
    </w:lvl>
    <w:lvl w:ilvl="2" w:tentative="0">
      <w:start w:val="1"/>
      <w:numFmt w:val="bullet"/>
      <w:lvlText w:val=""/>
      <w:lvlJc w:val="left"/>
      <w:pPr>
        <w:ind w:left="2680" w:hanging="360"/>
      </w:pPr>
      <w:rPr>
        <w:rFonts w:hint="default" w:ascii="Wingdings" w:hAnsi="Wingdings"/>
      </w:rPr>
    </w:lvl>
    <w:lvl w:ilvl="3" w:tentative="0">
      <w:start w:val="1"/>
      <w:numFmt w:val="bullet"/>
      <w:lvlText w:val=""/>
      <w:lvlJc w:val="left"/>
      <w:pPr>
        <w:ind w:left="3400" w:hanging="360"/>
      </w:pPr>
      <w:rPr>
        <w:rFonts w:hint="default" w:ascii="Symbol" w:hAnsi="Symbol"/>
      </w:rPr>
    </w:lvl>
    <w:lvl w:ilvl="4" w:tentative="0">
      <w:start w:val="1"/>
      <w:numFmt w:val="bullet"/>
      <w:lvlText w:val="o"/>
      <w:lvlJc w:val="left"/>
      <w:pPr>
        <w:ind w:left="4120" w:hanging="360"/>
      </w:pPr>
      <w:rPr>
        <w:rFonts w:hint="default" w:ascii="Courier New" w:hAnsi="Courier New" w:cs="Courier New"/>
      </w:rPr>
    </w:lvl>
    <w:lvl w:ilvl="5" w:tentative="0">
      <w:start w:val="1"/>
      <w:numFmt w:val="bullet"/>
      <w:lvlText w:val=""/>
      <w:lvlJc w:val="left"/>
      <w:pPr>
        <w:ind w:left="4840" w:hanging="360"/>
      </w:pPr>
      <w:rPr>
        <w:rFonts w:hint="default" w:ascii="Wingdings" w:hAnsi="Wingdings"/>
      </w:rPr>
    </w:lvl>
    <w:lvl w:ilvl="6" w:tentative="0">
      <w:start w:val="1"/>
      <w:numFmt w:val="bullet"/>
      <w:lvlText w:val=""/>
      <w:lvlJc w:val="left"/>
      <w:pPr>
        <w:ind w:left="5560" w:hanging="360"/>
      </w:pPr>
      <w:rPr>
        <w:rFonts w:hint="default" w:ascii="Symbol" w:hAnsi="Symbol"/>
      </w:rPr>
    </w:lvl>
    <w:lvl w:ilvl="7" w:tentative="0">
      <w:start w:val="1"/>
      <w:numFmt w:val="bullet"/>
      <w:lvlText w:val="o"/>
      <w:lvlJc w:val="left"/>
      <w:pPr>
        <w:ind w:left="6280" w:hanging="360"/>
      </w:pPr>
      <w:rPr>
        <w:rFonts w:hint="default" w:ascii="Courier New" w:hAnsi="Courier New" w:cs="Courier New"/>
      </w:rPr>
    </w:lvl>
    <w:lvl w:ilvl="8" w:tentative="0">
      <w:start w:val="1"/>
      <w:numFmt w:val="bullet"/>
      <w:lvlText w:val=""/>
      <w:lvlJc w:val="left"/>
      <w:pPr>
        <w:ind w:left="7000" w:hanging="360"/>
      </w:pPr>
      <w:rPr>
        <w:rFonts w:hint="default" w:ascii="Wingdings" w:hAnsi="Wingdings"/>
      </w:rPr>
    </w:lvl>
  </w:abstractNum>
  <w:num w:numId="1">
    <w:abstractNumId w:val="6"/>
  </w:num>
  <w:num w:numId="2">
    <w:abstractNumId w:val="15"/>
  </w:num>
  <w:num w:numId="3">
    <w:abstractNumId w:val="11"/>
  </w:num>
  <w:num w:numId="4">
    <w:abstractNumId w:val="46"/>
  </w:num>
  <w:num w:numId="5">
    <w:abstractNumId w:val="2"/>
  </w:num>
  <w:num w:numId="6">
    <w:abstractNumId w:val="10"/>
  </w:num>
  <w:num w:numId="7">
    <w:abstractNumId w:val="17"/>
  </w:num>
  <w:num w:numId="8">
    <w:abstractNumId w:val="38"/>
  </w:num>
  <w:num w:numId="9">
    <w:abstractNumId w:val="31"/>
  </w:num>
  <w:num w:numId="10">
    <w:abstractNumId w:val="48"/>
  </w:num>
  <w:num w:numId="11">
    <w:abstractNumId w:val="35"/>
  </w:num>
  <w:num w:numId="12">
    <w:abstractNumId w:val="51"/>
  </w:num>
  <w:num w:numId="13">
    <w:abstractNumId w:val="13"/>
  </w:num>
  <w:num w:numId="14">
    <w:abstractNumId w:val="39"/>
  </w:num>
  <w:num w:numId="15">
    <w:abstractNumId w:val="29"/>
  </w:num>
  <w:num w:numId="16">
    <w:abstractNumId w:val="47"/>
  </w:num>
  <w:num w:numId="17">
    <w:abstractNumId w:val="5"/>
  </w:num>
  <w:num w:numId="18">
    <w:abstractNumId w:val="27"/>
  </w:num>
  <w:num w:numId="19">
    <w:abstractNumId w:val="23"/>
  </w:num>
  <w:num w:numId="20">
    <w:abstractNumId w:val="45"/>
  </w:num>
  <w:num w:numId="21">
    <w:abstractNumId w:val="42"/>
  </w:num>
  <w:num w:numId="22">
    <w:abstractNumId w:val="20"/>
  </w:num>
  <w:num w:numId="23">
    <w:abstractNumId w:val="36"/>
  </w:num>
  <w:num w:numId="24">
    <w:abstractNumId w:val="26"/>
  </w:num>
  <w:num w:numId="25">
    <w:abstractNumId w:val="8"/>
  </w:num>
  <w:num w:numId="26">
    <w:abstractNumId w:val="52"/>
  </w:num>
  <w:num w:numId="27">
    <w:abstractNumId w:val="34"/>
  </w:num>
  <w:num w:numId="28">
    <w:abstractNumId w:val="37"/>
  </w:num>
  <w:num w:numId="29">
    <w:abstractNumId w:val="33"/>
  </w:num>
  <w:num w:numId="30">
    <w:abstractNumId w:val="32"/>
  </w:num>
  <w:num w:numId="31">
    <w:abstractNumId w:val="21"/>
  </w:num>
  <w:num w:numId="32">
    <w:abstractNumId w:val="40"/>
  </w:num>
  <w:num w:numId="33">
    <w:abstractNumId w:val="3"/>
  </w:num>
  <w:num w:numId="34">
    <w:abstractNumId w:val="28"/>
  </w:num>
  <w:num w:numId="35">
    <w:abstractNumId w:val="41"/>
  </w:num>
  <w:num w:numId="36">
    <w:abstractNumId w:val="43"/>
  </w:num>
  <w:num w:numId="37">
    <w:abstractNumId w:val="19"/>
  </w:num>
  <w:num w:numId="38">
    <w:abstractNumId w:val="24"/>
  </w:num>
  <w:num w:numId="39">
    <w:abstractNumId w:val="44"/>
  </w:num>
  <w:num w:numId="40">
    <w:abstractNumId w:val="14"/>
  </w:num>
  <w:num w:numId="41">
    <w:abstractNumId w:val="25"/>
  </w:num>
  <w:num w:numId="42">
    <w:abstractNumId w:val="30"/>
  </w:num>
  <w:num w:numId="43">
    <w:abstractNumId w:val="16"/>
  </w:num>
  <w:num w:numId="44">
    <w:abstractNumId w:val="50"/>
  </w:num>
  <w:num w:numId="45">
    <w:abstractNumId w:val="1"/>
  </w:num>
  <w:num w:numId="46">
    <w:abstractNumId w:val="18"/>
  </w:num>
  <w:num w:numId="47">
    <w:abstractNumId w:val="7"/>
  </w:num>
  <w:num w:numId="48">
    <w:abstractNumId w:val="22"/>
  </w:num>
  <w:num w:numId="49">
    <w:abstractNumId w:val="12"/>
  </w:num>
  <w:num w:numId="50">
    <w:abstractNumId w:val="0"/>
  </w:num>
  <w:num w:numId="51">
    <w:abstractNumId w:val="9"/>
  </w:num>
  <w:num w:numId="52">
    <w:abstractNumId w:val="49"/>
  </w:num>
  <w:num w:numId="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hideSpellingErrors/>
  <w:hideGrammaticalErrors/>
  <w:documentProtection w:enforcement="0"/>
  <w:defaultTabStop w:val="720"/>
  <w:drawingGridHorizontalSpacing w:val="110"/>
  <w:doNotShadeFormData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CB"/>
    <w:rsid w:val="00000DAB"/>
    <w:rsid w:val="00001A9B"/>
    <w:rsid w:val="000022B5"/>
    <w:rsid w:val="00004277"/>
    <w:rsid w:val="00004665"/>
    <w:rsid w:val="00004CF2"/>
    <w:rsid w:val="000056E2"/>
    <w:rsid w:val="000058A0"/>
    <w:rsid w:val="00005A50"/>
    <w:rsid w:val="000116AF"/>
    <w:rsid w:val="0001288A"/>
    <w:rsid w:val="00013342"/>
    <w:rsid w:val="00013FBC"/>
    <w:rsid w:val="0001627F"/>
    <w:rsid w:val="00017484"/>
    <w:rsid w:val="000174BD"/>
    <w:rsid w:val="000203F3"/>
    <w:rsid w:val="00020503"/>
    <w:rsid w:val="00021C34"/>
    <w:rsid w:val="00022B6F"/>
    <w:rsid w:val="00026886"/>
    <w:rsid w:val="00026EAD"/>
    <w:rsid w:val="00030FA6"/>
    <w:rsid w:val="0003218A"/>
    <w:rsid w:val="00033FFC"/>
    <w:rsid w:val="00034140"/>
    <w:rsid w:val="00034647"/>
    <w:rsid w:val="0003687C"/>
    <w:rsid w:val="00042466"/>
    <w:rsid w:val="00042CB6"/>
    <w:rsid w:val="000433FE"/>
    <w:rsid w:val="000435B7"/>
    <w:rsid w:val="00043682"/>
    <w:rsid w:val="0004399D"/>
    <w:rsid w:val="00044DE4"/>
    <w:rsid w:val="0004761E"/>
    <w:rsid w:val="00050377"/>
    <w:rsid w:val="000503BA"/>
    <w:rsid w:val="00051E68"/>
    <w:rsid w:val="0005335D"/>
    <w:rsid w:val="00054750"/>
    <w:rsid w:val="00054BAE"/>
    <w:rsid w:val="000569A5"/>
    <w:rsid w:val="00056E00"/>
    <w:rsid w:val="00057A4A"/>
    <w:rsid w:val="000627A0"/>
    <w:rsid w:val="00062E96"/>
    <w:rsid w:val="000656A4"/>
    <w:rsid w:val="00066CD5"/>
    <w:rsid w:val="000675E2"/>
    <w:rsid w:val="000677B1"/>
    <w:rsid w:val="00067D71"/>
    <w:rsid w:val="00067DC5"/>
    <w:rsid w:val="00067E01"/>
    <w:rsid w:val="00070C64"/>
    <w:rsid w:val="00071055"/>
    <w:rsid w:val="000710A9"/>
    <w:rsid w:val="00071252"/>
    <w:rsid w:val="0007316D"/>
    <w:rsid w:val="00073428"/>
    <w:rsid w:val="0007384C"/>
    <w:rsid w:val="00075877"/>
    <w:rsid w:val="00081AD6"/>
    <w:rsid w:val="00081C16"/>
    <w:rsid w:val="00081D07"/>
    <w:rsid w:val="00082D06"/>
    <w:rsid w:val="00082DE1"/>
    <w:rsid w:val="000841BC"/>
    <w:rsid w:val="00084F69"/>
    <w:rsid w:val="00085444"/>
    <w:rsid w:val="00086716"/>
    <w:rsid w:val="000876C6"/>
    <w:rsid w:val="0009075C"/>
    <w:rsid w:val="00090D7E"/>
    <w:rsid w:val="00092698"/>
    <w:rsid w:val="00092964"/>
    <w:rsid w:val="00092DC7"/>
    <w:rsid w:val="00092EC9"/>
    <w:rsid w:val="000931EC"/>
    <w:rsid w:val="000933B1"/>
    <w:rsid w:val="00093717"/>
    <w:rsid w:val="00093C2F"/>
    <w:rsid w:val="00095FA8"/>
    <w:rsid w:val="00096BA9"/>
    <w:rsid w:val="00097FA7"/>
    <w:rsid w:val="000A0054"/>
    <w:rsid w:val="000A1DBB"/>
    <w:rsid w:val="000A2521"/>
    <w:rsid w:val="000A7036"/>
    <w:rsid w:val="000A78AD"/>
    <w:rsid w:val="000B0246"/>
    <w:rsid w:val="000B0790"/>
    <w:rsid w:val="000B0947"/>
    <w:rsid w:val="000B0C19"/>
    <w:rsid w:val="000B326B"/>
    <w:rsid w:val="000B36C7"/>
    <w:rsid w:val="000B6025"/>
    <w:rsid w:val="000B6360"/>
    <w:rsid w:val="000B6722"/>
    <w:rsid w:val="000B6875"/>
    <w:rsid w:val="000B7ABC"/>
    <w:rsid w:val="000B7F1E"/>
    <w:rsid w:val="000C0527"/>
    <w:rsid w:val="000C1188"/>
    <w:rsid w:val="000C1956"/>
    <w:rsid w:val="000C1C3B"/>
    <w:rsid w:val="000C29B0"/>
    <w:rsid w:val="000C2C68"/>
    <w:rsid w:val="000C2E15"/>
    <w:rsid w:val="000C2E1A"/>
    <w:rsid w:val="000C305D"/>
    <w:rsid w:val="000C33D6"/>
    <w:rsid w:val="000C35C5"/>
    <w:rsid w:val="000C360E"/>
    <w:rsid w:val="000C390A"/>
    <w:rsid w:val="000C6030"/>
    <w:rsid w:val="000D007B"/>
    <w:rsid w:val="000D5605"/>
    <w:rsid w:val="000D6D54"/>
    <w:rsid w:val="000D77E8"/>
    <w:rsid w:val="000D7E76"/>
    <w:rsid w:val="000E0765"/>
    <w:rsid w:val="000E09E9"/>
    <w:rsid w:val="000E33AC"/>
    <w:rsid w:val="000E3CAD"/>
    <w:rsid w:val="000E54A5"/>
    <w:rsid w:val="000E70D0"/>
    <w:rsid w:val="000E76CF"/>
    <w:rsid w:val="000F054C"/>
    <w:rsid w:val="000F0DD0"/>
    <w:rsid w:val="000F1A3D"/>
    <w:rsid w:val="000F2CD8"/>
    <w:rsid w:val="000F424C"/>
    <w:rsid w:val="000F4EF6"/>
    <w:rsid w:val="000F554C"/>
    <w:rsid w:val="000F578B"/>
    <w:rsid w:val="000F6EC9"/>
    <w:rsid w:val="000F760A"/>
    <w:rsid w:val="000F78D4"/>
    <w:rsid w:val="001005F4"/>
    <w:rsid w:val="00100DDD"/>
    <w:rsid w:val="00101062"/>
    <w:rsid w:val="00101277"/>
    <w:rsid w:val="0010158F"/>
    <w:rsid w:val="0010242D"/>
    <w:rsid w:val="00103CFC"/>
    <w:rsid w:val="00103D9F"/>
    <w:rsid w:val="00106898"/>
    <w:rsid w:val="00106ACE"/>
    <w:rsid w:val="00106CDC"/>
    <w:rsid w:val="0011048E"/>
    <w:rsid w:val="0011136B"/>
    <w:rsid w:val="001115F5"/>
    <w:rsid w:val="0011297A"/>
    <w:rsid w:val="00112B58"/>
    <w:rsid w:val="00115354"/>
    <w:rsid w:val="00116A60"/>
    <w:rsid w:val="001172E0"/>
    <w:rsid w:val="00117609"/>
    <w:rsid w:val="001176FD"/>
    <w:rsid w:val="00117DBC"/>
    <w:rsid w:val="0012009D"/>
    <w:rsid w:val="00121163"/>
    <w:rsid w:val="00122044"/>
    <w:rsid w:val="001242AC"/>
    <w:rsid w:val="00124E34"/>
    <w:rsid w:val="001272BA"/>
    <w:rsid w:val="0012751F"/>
    <w:rsid w:val="00131EBE"/>
    <w:rsid w:val="0013233D"/>
    <w:rsid w:val="0013333D"/>
    <w:rsid w:val="0013437A"/>
    <w:rsid w:val="0013506B"/>
    <w:rsid w:val="00136227"/>
    <w:rsid w:val="0013660E"/>
    <w:rsid w:val="0013723C"/>
    <w:rsid w:val="00137C0D"/>
    <w:rsid w:val="00137F2C"/>
    <w:rsid w:val="001418C5"/>
    <w:rsid w:val="00141F91"/>
    <w:rsid w:val="00142635"/>
    <w:rsid w:val="00144CBF"/>
    <w:rsid w:val="00150FE7"/>
    <w:rsid w:val="00153A5B"/>
    <w:rsid w:val="00153C75"/>
    <w:rsid w:val="00156C02"/>
    <w:rsid w:val="00156F2D"/>
    <w:rsid w:val="00161F66"/>
    <w:rsid w:val="0016293E"/>
    <w:rsid w:val="00162B55"/>
    <w:rsid w:val="00164DA7"/>
    <w:rsid w:val="001674E0"/>
    <w:rsid w:val="00170339"/>
    <w:rsid w:val="00170871"/>
    <w:rsid w:val="00170D48"/>
    <w:rsid w:val="00171AAB"/>
    <w:rsid w:val="00171B52"/>
    <w:rsid w:val="00171C5A"/>
    <w:rsid w:val="001728E1"/>
    <w:rsid w:val="00172A27"/>
    <w:rsid w:val="00172C4F"/>
    <w:rsid w:val="00174E94"/>
    <w:rsid w:val="00174F2F"/>
    <w:rsid w:val="001763E4"/>
    <w:rsid w:val="001764F5"/>
    <w:rsid w:val="00177150"/>
    <w:rsid w:val="00182056"/>
    <w:rsid w:val="00182E6A"/>
    <w:rsid w:val="00184698"/>
    <w:rsid w:val="001858EB"/>
    <w:rsid w:val="00185D90"/>
    <w:rsid w:val="00185E2A"/>
    <w:rsid w:val="00186CA6"/>
    <w:rsid w:val="0018720B"/>
    <w:rsid w:val="00187ED0"/>
    <w:rsid w:val="00191947"/>
    <w:rsid w:val="00191E13"/>
    <w:rsid w:val="00192D6E"/>
    <w:rsid w:val="001935A4"/>
    <w:rsid w:val="00194881"/>
    <w:rsid w:val="001948C2"/>
    <w:rsid w:val="001948DD"/>
    <w:rsid w:val="00195587"/>
    <w:rsid w:val="001967A3"/>
    <w:rsid w:val="00196886"/>
    <w:rsid w:val="001969DB"/>
    <w:rsid w:val="001A11D2"/>
    <w:rsid w:val="001A285C"/>
    <w:rsid w:val="001A3905"/>
    <w:rsid w:val="001A4D30"/>
    <w:rsid w:val="001A6DDB"/>
    <w:rsid w:val="001B19D8"/>
    <w:rsid w:val="001B1D64"/>
    <w:rsid w:val="001B29C2"/>
    <w:rsid w:val="001B2B9C"/>
    <w:rsid w:val="001B2D9B"/>
    <w:rsid w:val="001B70F1"/>
    <w:rsid w:val="001B7601"/>
    <w:rsid w:val="001B7855"/>
    <w:rsid w:val="001C1642"/>
    <w:rsid w:val="001C21C1"/>
    <w:rsid w:val="001C2427"/>
    <w:rsid w:val="001C2576"/>
    <w:rsid w:val="001C2820"/>
    <w:rsid w:val="001C2BC1"/>
    <w:rsid w:val="001C3154"/>
    <w:rsid w:val="001C46F9"/>
    <w:rsid w:val="001C69C1"/>
    <w:rsid w:val="001C7972"/>
    <w:rsid w:val="001D0328"/>
    <w:rsid w:val="001D22D6"/>
    <w:rsid w:val="001D34BC"/>
    <w:rsid w:val="001D3630"/>
    <w:rsid w:val="001D3E40"/>
    <w:rsid w:val="001D5C68"/>
    <w:rsid w:val="001D652E"/>
    <w:rsid w:val="001E15D8"/>
    <w:rsid w:val="001E1C53"/>
    <w:rsid w:val="001E1D54"/>
    <w:rsid w:val="001E302F"/>
    <w:rsid w:val="001E4C2A"/>
    <w:rsid w:val="001E53B3"/>
    <w:rsid w:val="001E72D6"/>
    <w:rsid w:val="001E748C"/>
    <w:rsid w:val="001F0DFA"/>
    <w:rsid w:val="001F181E"/>
    <w:rsid w:val="001F2A4A"/>
    <w:rsid w:val="001F31BB"/>
    <w:rsid w:val="001F4614"/>
    <w:rsid w:val="001F6E15"/>
    <w:rsid w:val="002008F7"/>
    <w:rsid w:val="00200B11"/>
    <w:rsid w:val="00201577"/>
    <w:rsid w:val="00201B80"/>
    <w:rsid w:val="00205352"/>
    <w:rsid w:val="002106DB"/>
    <w:rsid w:val="00210DE7"/>
    <w:rsid w:val="0021107C"/>
    <w:rsid w:val="00211465"/>
    <w:rsid w:val="00212271"/>
    <w:rsid w:val="002124D7"/>
    <w:rsid w:val="00212A15"/>
    <w:rsid w:val="00215003"/>
    <w:rsid w:val="0021519D"/>
    <w:rsid w:val="00216810"/>
    <w:rsid w:val="00217F0C"/>
    <w:rsid w:val="00220517"/>
    <w:rsid w:val="002205B5"/>
    <w:rsid w:val="00221C1F"/>
    <w:rsid w:val="00222998"/>
    <w:rsid w:val="002234A9"/>
    <w:rsid w:val="00223720"/>
    <w:rsid w:val="00225132"/>
    <w:rsid w:val="00225EA3"/>
    <w:rsid w:val="00227A89"/>
    <w:rsid w:val="0023118B"/>
    <w:rsid w:val="00234C0A"/>
    <w:rsid w:val="00235466"/>
    <w:rsid w:val="002401CD"/>
    <w:rsid w:val="00242DC1"/>
    <w:rsid w:val="0024347E"/>
    <w:rsid w:val="00243909"/>
    <w:rsid w:val="0024562F"/>
    <w:rsid w:val="002462F1"/>
    <w:rsid w:val="00250E4A"/>
    <w:rsid w:val="0025291A"/>
    <w:rsid w:val="002530B1"/>
    <w:rsid w:val="00253C53"/>
    <w:rsid w:val="0025400B"/>
    <w:rsid w:val="002543D8"/>
    <w:rsid w:val="002557CF"/>
    <w:rsid w:val="0025786F"/>
    <w:rsid w:val="00260E10"/>
    <w:rsid w:val="0026135C"/>
    <w:rsid w:val="002614FB"/>
    <w:rsid w:val="00262AA2"/>
    <w:rsid w:val="00262E14"/>
    <w:rsid w:val="00263972"/>
    <w:rsid w:val="002639D8"/>
    <w:rsid w:val="002641C1"/>
    <w:rsid w:val="00264C6D"/>
    <w:rsid w:val="00265050"/>
    <w:rsid w:val="00265C7C"/>
    <w:rsid w:val="002665F5"/>
    <w:rsid w:val="002669B5"/>
    <w:rsid w:val="00266BAB"/>
    <w:rsid w:val="00274471"/>
    <w:rsid w:val="002761E1"/>
    <w:rsid w:val="00276460"/>
    <w:rsid w:val="00281170"/>
    <w:rsid w:val="00281193"/>
    <w:rsid w:val="002819EB"/>
    <w:rsid w:val="00282092"/>
    <w:rsid w:val="002820C4"/>
    <w:rsid w:val="00282E21"/>
    <w:rsid w:val="00283B50"/>
    <w:rsid w:val="00283B83"/>
    <w:rsid w:val="00285A12"/>
    <w:rsid w:val="00286641"/>
    <w:rsid w:val="00287DB2"/>
    <w:rsid w:val="00291197"/>
    <w:rsid w:val="00292826"/>
    <w:rsid w:val="0029327A"/>
    <w:rsid w:val="00293754"/>
    <w:rsid w:val="00293BC7"/>
    <w:rsid w:val="00294F75"/>
    <w:rsid w:val="00295348"/>
    <w:rsid w:val="002953F9"/>
    <w:rsid w:val="00295933"/>
    <w:rsid w:val="00297CC1"/>
    <w:rsid w:val="002A0F6F"/>
    <w:rsid w:val="002A2410"/>
    <w:rsid w:val="002A397C"/>
    <w:rsid w:val="002A4C3F"/>
    <w:rsid w:val="002A5285"/>
    <w:rsid w:val="002A548C"/>
    <w:rsid w:val="002A57FA"/>
    <w:rsid w:val="002A5979"/>
    <w:rsid w:val="002A626F"/>
    <w:rsid w:val="002A7421"/>
    <w:rsid w:val="002A778E"/>
    <w:rsid w:val="002A7B90"/>
    <w:rsid w:val="002B140C"/>
    <w:rsid w:val="002B216D"/>
    <w:rsid w:val="002B23AF"/>
    <w:rsid w:val="002B2CDC"/>
    <w:rsid w:val="002B2F10"/>
    <w:rsid w:val="002B353A"/>
    <w:rsid w:val="002B470A"/>
    <w:rsid w:val="002B4FEA"/>
    <w:rsid w:val="002B5D58"/>
    <w:rsid w:val="002B7087"/>
    <w:rsid w:val="002C2ECB"/>
    <w:rsid w:val="002C3743"/>
    <w:rsid w:val="002C49B3"/>
    <w:rsid w:val="002C52E5"/>
    <w:rsid w:val="002C5CA8"/>
    <w:rsid w:val="002C5FFC"/>
    <w:rsid w:val="002C666A"/>
    <w:rsid w:val="002C67D4"/>
    <w:rsid w:val="002C731A"/>
    <w:rsid w:val="002D01C0"/>
    <w:rsid w:val="002D1327"/>
    <w:rsid w:val="002D1CA3"/>
    <w:rsid w:val="002D27F1"/>
    <w:rsid w:val="002D2E77"/>
    <w:rsid w:val="002D2F97"/>
    <w:rsid w:val="002D30AB"/>
    <w:rsid w:val="002D3617"/>
    <w:rsid w:val="002D53DC"/>
    <w:rsid w:val="002D6AE4"/>
    <w:rsid w:val="002D6F6D"/>
    <w:rsid w:val="002E0CEA"/>
    <w:rsid w:val="002E312C"/>
    <w:rsid w:val="002E3250"/>
    <w:rsid w:val="002E397A"/>
    <w:rsid w:val="002E4013"/>
    <w:rsid w:val="002E4E9C"/>
    <w:rsid w:val="002F03DB"/>
    <w:rsid w:val="002F26E0"/>
    <w:rsid w:val="002F2A10"/>
    <w:rsid w:val="002F2F9C"/>
    <w:rsid w:val="002F392B"/>
    <w:rsid w:val="002F4FE3"/>
    <w:rsid w:val="002F5EAE"/>
    <w:rsid w:val="002F6A5C"/>
    <w:rsid w:val="002F6E98"/>
    <w:rsid w:val="002F7594"/>
    <w:rsid w:val="002F7C51"/>
    <w:rsid w:val="00300317"/>
    <w:rsid w:val="00300D47"/>
    <w:rsid w:val="00301EFA"/>
    <w:rsid w:val="00302C26"/>
    <w:rsid w:val="00303613"/>
    <w:rsid w:val="003054A2"/>
    <w:rsid w:val="003055C0"/>
    <w:rsid w:val="00306579"/>
    <w:rsid w:val="00307801"/>
    <w:rsid w:val="00311D6A"/>
    <w:rsid w:val="003127F3"/>
    <w:rsid w:val="00312960"/>
    <w:rsid w:val="0031356F"/>
    <w:rsid w:val="003136F6"/>
    <w:rsid w:val="00313C92"/>
    <w:rsid w:val="00314358"/>
    <w:rsid w:val="00315EC8"/>
    <w:rsid w:val="0031645B"/>
    <w:rsid w:val="00316556"/>
    <w:rsid w:val="0032064B"/>
    <w:rsid w:val="00320C4B"/>
    <w:rsid w:val="00320E4A"/>
    <w:rsid w:val="00322593"/>
    <w:rsid w:val="00322730"/>
    <w:rsid w:val="003228C7"/>
    <w:rsid w:val="00322C8D"/>
    <w:rsid w:val="00324350"/>
    <w:rsid w:val="003245F8"/>
    <w:rsid w:val="00325B14"/>
    <w:rsid w:val="00326EA5"/>
    <w:rsid w:val="003274C1"/>
    <w:rsid w:val="0033115B"/>
    <w:rsid w:val="003314FB"/>
    <w:rsid w:val="00331C5D"/>
    <w:rsid w:val="00331DBD"/>
    <w:rsid w:val="0033326A"/>
    <w:rsid w:val="0033332F"/>
    <w:rsid w:val="003333AF"/>
    <w:rsid w:val="00334F3C"/>
    <w:rsid w:val="003358C0"/>
    <w:rsid w:val="00335CDB"/>
    <w:rsid w:val="00337CC6"/>
    <w:rsid w:val="00337D72"/>
    <w:rsid w:val="0034044C"/>
    <w:rsid w:val="003411BE"/>
    <w:rsid w:val="003421B2"/>
    <w:rsid w:val="003426D8"/>
    <w:rsid w:val="00342E1D"/>
    <w:rsid w:val="00344C65"/>
    <w:rsid w:val="00344EAA"/>
    <w:rsid w:val="00345B79"/>
    <w:rsid w:val="00345FAE"/>
    <w:rsid w:val="00347130"/>
    <w:rsid w:val="00347342"/>
    <w:rsid w:val="003477E5"/>
    <w:rsid w:val="00351E21"/>
    <w:rsid w:val="0035231A"/>
    <w:rsid w:val="0035380E"/>
    <w:rsid w:val="00353A22"/>
    <w:rsid w:val="00353CB8"/>
    <w:rsid w:val="00354605"/>
    <w:rsid w:val="00355788"/>
    <w:rsid w:val="00355F15"/>
    <w:rsid w:val="0035746A"/>
    <w:rsid w:val="00357523"/>
    <w:rsid w:val="00360009"/>
    <w:rsid w:val="00360275"/>
    <w:rsid w:val="0036465F"/>
    <w:rsid w:val="00364CE8"/>
    <w:rsid w:val="00364E5A"/>
    <w:rsid w:val="0036587B"/>
    <w:rsid w:val="00367209"/>
    <w:rsid w:val="003679F3"/>
    <w:rsid w:val="00370740"/>
    <w:rsid w:val="0037082C"/>
    <w:rsid w:val="00371AA0"/>
    <w:rsid w:val="00372079"/>
    <w:rsid w:val="00372DAE"/>
    <w:rsid w:val="00373442"/>
    <w:rsid w:val="00373AB1"/>
    <w:rsid w:val="00374134"/>
    <w:rsid w:val="00374171"/>
    <w:rsid w:val="003747E6"/>
    <w:rsid w:val="003762DB"/>
    <w:rsid w:val="00376D1A"/>
    <w:rsid w:val="00377440"/>
    <w:rsid w:val="00377F50"/>
    <w:rsid w:val="0038054B"/>
    <w:rsid w:val="00380F82"/>
    <w:rsid w:val="00382445"/>
    <w:rsid w:val="0038375C"/>
    <w:rsid w:val="00383CBA"/>
    <w:rsid w:val="003844B7"/>
    <w:rsid w:val="00384DEE"/>
    <w:rsid w:val="00384EC9"/>
    <w:rsid w:val="00384FDF"/>
    <w:rsid w:val="00385B9F"/>
    <w:rsid w:val="003871C7"/>
    <w:rsid w:val="00387BE4"/>
    <w:rsid w:val="003924B3"/>
    <w:rsid w:val="003926CF"/>
    <w:rsid w:val="00392F33"/>
    <w:rsid w:val="00393927"/>
    <w:rsid w:val="00393ED0"/>
    <w:rsid w:val="003942BC"/>
    <w:rsid w:val="003963D6"/>
    <w:rsid w:val="00397040"/>
    <w:rsid w:val="00397269"/>
    <w:rsid w:val="0039739D"/>
    <w:rsid w:val="00397989"/>
    <w:rsid w:val="003A2299"/>
    <w:rsid w:val="003A2A26"/>
    <w:rsid w:val="003A362E"/>
    <w:rsid w:val="003A4F3A"/>
    <w:rsid w:val="003A6E4C"/>
    <w:rsid w:val="003A7514"/>
    <w:rsid w:val="003B05C6"/>
    <w:rsid w:val="003B1C1C"/>
    <w:rsid w:val="003B2BA6"/>
    <w:rsid w:val="003B34A8"/>
    <w:rsid w:val="003B5166"/>
    <w:rsid w:val="003B623A"/>
    <w:rsid w:val="003B6D75"/>
    <w:rsid w:val="003B7C8C"/>
    <w:rsid w:val="003C115E"/>
    <w:rsid w:val="003C20B2"/>
    <w:rsid w:val="003C2AFD"/>
    <w:rsid w:val="003C3586"/>
    <w:rsid w:val="003C4BF9"/>
    <w:rsid w:val="003C4E05"/>
    <w:rsid w:val="003C5318"/>
    <w:rsid w:val="003C6E08"/>
    <w:rsid w:val="003C75B8"/>
    <w:rsid w:val="003C763D"/>
    <w:rsid w:val="003D0F86"/>
    <w:rsid w:val="003D1547"/>
    <w:rsid w:val="003D1DDC"/>
    <w:rsid w:val="003D2D0E"/>
    <w:rsid w:val="003D3CF8"/>
    <w:rsid w:val="003D4A00"/>
    <w:rsid w:val="003D5376"/>
    <w:rsid w:val="003D7FC4"/>
    <w:rsid w:val="003E0043"/>
    <w:rsid w:val="003E29EC"/>
    <w:rsid w:val="003E3045"/>
    <w:rsid w:val="003E3805"/>
    <w:rsid w:val="003E5C7D"/>
    <w:rsid w:val="003E5DD3"/>
    <w:rsid w:val="003E6FF6"/>
    <w:rsid w:val="003E7B11"/>
    <w:rsid w:val="003F0B73"/>
    <w:rsid w:val="003F0E76"/>
    <w:rsid w:val="003F322E"/>
    <w:rsid w:val="003F5E98"/>
    <w:rsid w:val="003F6F00"/>
    <w:rsid w:val="003F7059"/>
    <w:rsid w:val="003F7492"/>
    <w:rsid w:val="003F789B"/>
    <w:rsid w:val="00400422"/>
    <w:rsid w:val="00400B52"/>
    <w:rsid w:val="0040148B"/>
    <w:rsid w:val="00401F50"/>
    <w:rsid w:val="0040219F"/>
    <w:rsid w:val="004051C1"/>
    <w:rsid w:val="004056F3"/>
    <w:rsid w:val="00405ECC"/>
    <w:rsid w:val="00406787"/>
    <w:rsid w:val="00406EAF"/>
    <w:rsid w:val="004123B2"/>
    <w:rsid w:val="00412438"/>
    <w:rsid w:val="0041459B"/>
    <w:rsid w:val="004172D1"/>
    <w:rsid w:val="00417829"/>
    <w:rsid w:val="00421700"/>
    <w:rsid w:val="004241D0"/>
    <w:rsid w:val="00425D59"/>
    <w:rsid w:val="004276E0"/>
    <w:rsid w:val="00430365"/>
    <w:rsid w:val="00430FF5"/>
    <w:rsid w:val="00431086"/>
    <w:rsid w:val="004310FA"/>
    <w:rsid w:val="00431564"/>
    <w:rsid w:val="00432211"/>
    <w:rsid w:val="0043256F"/>
    <w:rsid w:val="00432EA5"/>
    <w:rsid w:val="00434136"/>
    <w:rsid w:val="00434348"/>
    <w:rsid w:val="004347DF"/>
    <w:rsid w:val="004407A7"/>
    <w:rsid w:val="004415D4"/>
    <w:rsid w:val="0044168E"/>
    <w:rsid w:val="00441D0D"/>
    <w:rsid w:val="004425DF"/>
    <w:rsid w:val="004426CB"/>
    <w:rsid w:val="00444599"/>
    <w:rsid w:val="0044462E"/>
    <w:rsid w:val="00447910"/>
    <w:rsid w:val="00451242"/>
    <w:rsid w:val="0045133A"/>
    <w:rsid w:val="00452955"/>
    <w:rsid w:val="00452FBF"/>
    <w:rsid w:val="004538F6"/>
    <w:rsid w:val="0045574B"/>
    <w:rsid w:val="00455FB6"/>
    <w:rsid w:val="00455FF5"/>
    <w:rsid w:val="00456F5C"/>
    <w:rsid w:val="004574F4"/>
    <w:rsid w:val="00457723"/>
    <w:rsid w:val="00457966"/>
    <w:rsid w:val="00460589"/>
    <w:rsid w:val="004618AA"/>
    <w:rsid w:val="00461A69"/>
    <w:rsid w:val="00461B71"/>
    <w:rsid w:val="00461E26"/>
    <w:rsid w:val="00463546"/>
    <w:rsid w:val="004635FA"/>
    <w:rsid w:val="004637A2"/>
    <w:rsid w:val="00463D38"/>
    <w:rsid w:val="004649A8"/>
    <w:rsid w:val="00465419"/>
    <w:rsid w:val="00465B37"/>
    <w:rsid w:val="00465C43"/>
    <w:rsid w:val="00467824"/>
    <w:rsid w:val="0047141D"/>
    <w:rsid w:val="004716B6"/>
    <w:rsid w:val="004746B7"/>
    <w:rsid w:val="00476054"/>
    <w:rsid w:val="00477E10"/>
    <w:rsid w:val="00480072"/>
    <w:rsid w:val="00480E9B"/>
    <w:rsid w:val="0048393F"/>
    <w:rsid w:val="00484532"/>
    <w:rsid w:val="00484569"/>
    <w:rsid w:val="004866FE"/>
    <w:rsid w:val="00487158"/>
    <w:rsid w:val="004878EF"/>
    <w:rsid w:val="00487A4A"/>
    <w:rsid w:val="00491399"/>
    <w:rsid w:val="0049193D"/>
    <w:rsid w:val="00491EFE"/>
    <w:rsid w:val="00491FE2"/>
    <w:rsid w:val="00492159"/>
    <w:rsid w:val="0049313F"/>
    <w:rsid w:val="0049437B"/>
    <w:rsid w:val="00495757"/>
    <w:rsid w:val="00496500"/>
    <w:rsid w:val="00496D9B"/>
    <w:rsid w:val="00496E44"/>
    <w:rsid w:val="0049774E"/>
    <w:rsid w:val="0049785D"/>
    <w:rsid w:val="004978C5"/>
    <w:rsid w:val="004A1914"/>
    <w:rsid w:val="004A2340"/>
    <w:rsid w:val="004A2429"/>
    <w:rsid w:val="004A2AF8"/>
    <w:rsid w:val="004A2CBF"/>
    <w:rsid w:val="004A320A"/>
    <w:rsid w:val="004A3E79"/>
    <w:rsid w:val="004A41D6"/>
    <w:rsid w:val="004A6225"/>
    <w:rsid w:val="004A6C34"/>
    <w:rsid w:val="004A71AF"/>
    <w:rsid w:val="004B03AA"/>
    <w:rsid w:val="004B08C9"/>
    <w:rsid w:val="004B101D"/>
    <w:rsid w:val="004B14E9"/>
    <w:rsid w:val="004B2236"/>
    <w:rsid w:val="004B30E5"/>
    <w:rsid w:val="004B34EB"/>
    <w:rsid w:val="004B3C51"/>
    <w:rsid w:val="004B3E80"/>
    <w:rsid w:val="004B4910"/>
    <w:rsid w:val="004B5F40"/>
    <w:rsid w:val="004C0AB7"/>
    <w:rsid w:val="004C30C9"/>
    <w:rsid w:val="004C4BD2"/>
    <w:rsid w:val="004C687B"/>
    <w:rsid w:val="004C7F8E"/>
    <w:rsid w:val="004D01A1"/>
    <w:rsid w:val="004D087E"/>
    <w:rsid w:val="004D15A0"/>
    <w:rsid w:val="004D1966"/>
    <w:rsid w:val="004D1BB7"/>
    <w:rsid w:val="004D1BD7"/>
    <w:rsid w:val="004D2A2E"/>
    <w:rsid w:val="004D2F0F"/>
    <w:rsid w:val="004D3E74"/>
    <w:rsid w:val="004D4B80"/>
    <w:rsid w:val="004D740B"/>
    <w:rsid w:val="004D7B49"/>
    <w:rsid w:val="004E034E"/>
    <w:rsid w:val="004E0F23"/>
    <w:rsid w:val="004E36F0"/>
    <w:rsid w:val="004E3942"/>
    <w:rsid w:val="004E40CF"/>
    <w:rsid w:val="004E4118"/>
    <w:rsid w:val="004E4BEF"/>
    <w:rsid w:val="004E4EE0"/>
    <w:rsid w:val="004E502B"/>
    <w:rsid w:val="004E5239"/>
    <w:rsid w:val="004E59EB"/>
    <w:rsid w:val="004E6046"/>
    <w:rsid w:val="004E61B7"/>
    <w:rsid w:val="004E63F8"/>
    <w:rsid w:val="004E6543"/>
    <w:rsid w:val="004F1053"/>
    <w:rsid w:val="004F22EB"/>
    <w:rsid w:val="004F29DF"/>
    <w:rsid w:val="004F2B37"/>
    <w:rsid w:val="004F3215"/>
    <w:rsid w:val="004F3AB6"/>
    <w:rsid w:val="004F3EA1"/>
    <w:rsid w:val="004F4945"/>
    <w:rsid w:val="004F5D9E"/>
    <w:rsid w:val="004F5F8F"/>
    <w:rsid w:val="004F62F7"/>
    <w:rsid w:val="004F6EC5"/>
    <w:rsid w:val="005012C7"/>
    <w:rsid w:val="005019BC"/>
    <w:rsid w:val="00501D09"/>
    <w:rsid w:val="005021A0"/>
    <w:rsid w:val="005055EE"/>
    <w:rsid w:val="00505C71"/>
    <w:rsid w:val="00506B63"/>
    <w:rsid w:val="00507F48"/>
    <w:rsid w:val="005136C4"/>
    <w:rsid w:val="0051383C"/>
    <w:rsid w:val="00514037"/>
    <w:rsid w:val="0051452C"/>
    <w:rsid w:val="0051534F"/>
    <w:rsid w:val="005169BD"/>
    <w:rsid w:val="00517719"/>
    <w:rsid w:val="00517F2D"/>
    <w:rsid w:val="00520A6E"/>
    <w:rsid w:val="00520C35"/>
    <w:rsid w:val="00522746"/>
    <w:rsid w:val="005227CA"/>
    <w:rsid w:val="005256D6"/>
    <w:rsid w:val="005258DE"/>
    <w:rsid w:val="00525A55"/>
    <w:rsid w:val="0052678B"/>
    <w:rsid w:val="00527E74"/>
    <w:rsid w:val="005302F8"/>
    <w:rsid w:val="00530377"/>
    <w:rsid w:val="005333CA"/>
    <w:rsid w:val="00534DD4"/>
    <w:rsid w:val="00535299"/>
    <w:rsid w:val="005352A4"/>
    <w:rsid w:val="00535AA9"/>
    <w:rsid w:val="00535CF1"/>
    <w:rsid w:val="00536C35"/>
    <w:rsid w:val="00536FA4"/>
    <w:rsid w:val="00540813"/>
    <w:rsid w:val="00540821"/>
    <w:rsid w:val="0054129F"/>
    <w:rsid w:val="005424F1"/>
    <w:rsid w:val="0054324C"/>
    <w:rsid w:val="00544D62"/>
    <w:rsid w:val="00544F44"/>
    <w:rsid w:val="00545445"/>
    <w:rsid w:val="00546462"/>
    <w:rsid w:val="00546CC6"/>
    <w:rsid w:val="00551277"/>
    <w:rsid w:val="005518B4"/>
    <w:rsid w:val="0055311C"/>
    <w:rsid w:val="00553970"/>
    <w:rsid w:val="00553C0B"/>
    <w:rsid w:val="00554029"/>
    <w:rsid w:val="0055473D"/>
    <w:rsid w:val="00554CCE"/>
    <w:rsid w:val="00554EA2"/>
    <w:rsid w:val="0056017B"/>
    <w:rsid w:val="00561210"/>
    <w:rsid w:val="005616AE"/>
    <w:rsid w:val="00561A21"/>
    <w:rsid w:val="00561A3B"/>
    <w:rsid w:val="00561F83"/>
    <w:rsid w:val="0056357A"/>
    <w:rsid w:val="00565B6C"/>
    <w:rsid w:val="00566638"/>
    <w:rsid w:val="00566BA2"/>
    <w:rsid w:val="00566F90"/>
    <w:rsid w:val="00567730"/>
    <w:rsid w:val="00572C9E"/>
    <w:rsid w:val="005740E7"/>
    <w:rsid w:val="00574A28"/>
    <w:rsid w:val="00574E17"/>
    <w:rsid w:val="0057596F"/>
    <w:rsid w:val="00575EB6"/>
    <w:rsid w:val="00575EDF"/>
    <w:rsid w:val="005765F7"/>
    <w:rsid w:val="00577D35"/>
    <w:rsid w:val="005810E9"/>
    <w:rsid w:val="0058218A"/>
    <w:rsid w:val="005829FA"/>
    <w:rsid w:val="005830F5"/>
    <w:rsid w:val="005839B0"/>
    <w:rsid w:val="00583ED6"/>
    <w:rsid w:val="005848A1"/>
    <w:rsid w:val="005850D0"/>
    <w:rsid w:val="005860DB"/>
    <w:rsid w:val="00586767"/>
    <w:rsid w:val="00586E39"/>
    <w:rsid w:val="00586EF3"/>
    <w:rsid w:val="00586EF6"/>
    <w:rsid w:val="0058729E"/>
    <w:rsid w:val="00591054"/>
    <w:rsid w:val="005913D2"/>
    <w:rsid w:val="00591BE4"/>
    <w:rsid w:val="00592422"/>
    <w:rsid w:val="0059349D"/>
    <w:rsid w:val="0059389C"/>
    <w:rsid w:val="00594CD9"/>
    <w:rsid w:val="00595760"/>
    <w:rsid w:val="005964FA"/>
    <w:rsid w:val="00596C77"/>
    <w:rsid w:val="005A0B04"/>
    <w:rsid w:val="005A0CA3"/>
    <w:rsid w:val="005A1E22"/>
    <w:rsid w:val="005A2D35"/>
    <w:rsid w:val="005A2DB7"/>
    <w:rsid w:val="005A2F4F"/>
    <w:rsid w:val="005A3C15"/>
    <w:rsid w:val="005A4ABD"/>
    <w:rsid w:val="005A57BA"/>
    <w:rsid w:val="005A5C0A"/>
    <w:rsid w:val="005A5CCD"/>
    <w:rsid w:val="005A7EF2"/>
    <w:rsid w:val="005B0333"/>
    <w:rsid w:val="005B0E57"/>
    <w:rsid w:val="005B111A"/>
    <w:rsid w:val="005B2F2A"/>
    <w:rsid w:val="005B41DF"/>
    <w:rsid w:val="005B45A6"/>
    <w:rsid w:val="005B4630"/>
    <w:rsid w:val="005B5D50"/>
    <w:rsid w:val="005B7312"/>
    <w:rsid w:val="005B76B6"/>
    <w:rsid w:val="005C14B6"/>
    <w:rsid w:val="005C2F1D"/>
    <w:rsid w:val="005C2F73"/>
    <w:rsid w:val="005C3817"/>
    <w:rsid w:val="005C38DF"/>
    <w:rsid w:val="005C408F"/>
    <w:rsid w:val="005C47F8"/>
    <w:rsid w:val="005C4BAC"/>
    <w:rsid w:val="005C512B"/>
    <w:rsid w:val="005C5A53"/>
    <w:rsid w:val="005D0AFF"/>
    <w:rsid w:val="005D27C2"/>
    <w:rsid w:val="005D37AE"/>
    <w:rsid w:val="005D5028"/>
    <w:rsid w:val="005D53E6"/>
    <w:rsid w:val="005D6DF0"/>
    <w:rsid w:val="005E0524"/>
    <w:rsid w:val="005E18DB"/>
    <w:rsid w:val="005E3610"/>
    <w:rsid w:val="005E411D"/>
    <w:rsid w:val="005E4C6D"/>
    <w:rsid w:val="005E5A27"/>
    <w:rsid w:val="005E646B"/>
    <w:rsid w:val="005E651F"/>
    <w:rsid w:val="005E6B00"/>
    <w:rsid w:val="005E727F"/>
    <w:rsid w:val="005F02FE"/>
    <w:rsid w:val="005F0891"/>
    <w:rsid w:val="005F0C34"/>
    <w:rsid w:val="005F0CEC"/>
    <w:rsid w:val="005F18EB"/>
    <w:rsid w:val="005F35DF"/>
    <w:rsid w:val="005F528D"/>
    <w:rsid w:val="005F5605"/>
    <w:rsid w:val="005F67B0"/>
    <w:rsid w:val="005F7291"/>
    <w:rsid w:val="00600491"/>
    <w:rsid w:val="0060124B"/>
    <w:rsid w:val="00602EA1"/>
    <w:rsid w:val="0060640E"/>
    <w:rsid w:val="006073FF"/>
    <w:rsid w:val="00607437"/>
    <w:rsid w:val="006110BB"/>
    <w:rsid w:val="006111FC"/>
    <w:rsid w:val="00612986"/>
    <w:rsid w:val="006131EE"/>
    <w:rsid w:val="00613271"/>
    <w:rsid w:val="0061469A"/>
    <w:rsid w:val="0061480F"/>
    <w:rsid w:val="00614B7E"/>
    <w:rsid w:val="00616166"/>
    <w:rsid w:val="00616B83"/>
    <w:rsid w:val="00616CBB"/>
    <w:rsid w:val="00616D65"/>
    <w:rsid w:val="00617051"/>
    <w:rsid w:val="0062135B"/>
    <w:rsid w:val="00621F26"/>
    <w:rsid w:val="006247DC"/>
    <w:rsid w:val="00626AA5"/>
    <w:rsid w:val="0063010E"/>
    <w:rsid w:val="0063046F"/>
    <w:rsid w:val="0063143B"/>
    <w:rsid w:val="006321D4"/>
    <w:rsid w:val="00633389"/>
    <w:rsid w:val="006358DE"/>
    <w:rsid w:val="00635DD4"/>
    <w:rsid w:val="00640EE9"/>
    <w:rsid w:val="00641E4D"/>
    <w:rsid w:val="00642375"/>
    <w:rsid w:val="00643D9B"/>
    <w:rsid w:val="0064401C"/>
    <w:rsid w:val="006453FB"/>
    <w:rsid w:val="00645775"/>
    <w:rsid w:val="00647A89"/>
    <w:rsid w:val="00650227"/>
    <w:rsid w:val="00651B98"/>
    <w:rsid w:val="00651C08"/>
    <w:rsid w:val="00651C17"/>
    <w:rsid w:val="00651D68"/>
    <w:rsid w:val="00653093"/>
    <w:rsid w:val="006543EF"/>
    <w:rsid w:val="00655121"/>
    <w:rsid w:val="0065535F"/>
    <w:rsid w:val="00657774"/>
    <w:rsid w:val="006577D3"/>
    <w:rsid w:val="006615C2"/>
    <w:rsid w:val="00662D53"/>
    <w:rsid w:val="00663D17"/>
    <w:rsid w:val="006664CA"/>
    <w:rsid w:val="0066694C"/>
    <w:rsid w:val="00666F75"/>
    <w:rsid w:val="00667269"/>
    <w:rsid w:val="00667EFF"/>
    <w:rsid w:val="00671244"/>
    <w:rsid w:val="00671DEC"/>
    <w:rsid w:val="00673196"/>
    <w:rsid w:val="00673FD3"/>
    <w:rsid w:val="00675BEF"/>
    <w:rsid w:val="006762D9"/>
    <w:rsid w:val="00677000"/>
    <w:rsid w:val="00680EFB"/>
    <w:rsid w:val="00680F95"/>
    <w:rsid w:val="006848CE"/>
    <w:rsid w:val="00685B83"/>
    <w:rsid w:val="0068689B"/>
    <w:rsid w:val="00690A17"/>
    <w:rsid w:val="00690DAC"/>
    <w:rsid w:val="00690E8B"/>
    <w:rsid w:val="00691C81"/>
    <w:rsid w:val="006925D0"/>
    <w:rsid w:val="00693ABF"/>
    <w:rsid w:val="00693B35"/>
    <w:rsid w:val="00694E14"/>
    <w:rsid w:val="00694E9D"/>
    <w:rsid w:val="006A218A"/>
    <w:rsid w:val="006A218F"/>
    <w:rsid w:val="006A21A6"/>
    <w:rsid w:val="006A29CC"/>
    <w:rsid w:val="006A34F3"/>
    <w:rsid w:val="006A366D"/>
    <w:rsid w:val="006A3A58"/>
    <w:rsid w:val="006A41BF"/>
    <w:rsid w:val="006A54F9"/>
    <w:rsid w:val="006A5524"/>
    <w:rsid w:val="006A6149"/>
    <w:rsid w:val="006A7B12"/>
    <w:rsid w:val="006B0307"/>
    <w:rsid w:val="006B2F66"/>
    <w:rsid w:val="006B3050"/>
    <w:rsid w:val="006B3080"/>
    <w:rsid w:val="006B377D"/>
    <w:rsid w:val="006B4DD9"/>
    <w:rsid w:val="006B5BDA"/>
    <w:rsid w:val="006B67A6"/>
    <w:rsid w:val="006B6B7A"/>
    <w:rsid w:val="006C2C98"/>
    <w:rsid w:val="006C3865"/>
    <w:rsid w:val="006C3B28"/>
    <w:rsid w:val="006C42FB"/>
    <w:rsid w:val="006C4A7E"/>
    <w:rsid w:val="006C4ED3"/>
    <w:rsid w:val="006C4F27"/>
    <w:rsid w:val="006C5C51"/>
    <w:rsid w:val="006C7334"/>
    <w:rsid w:val="006C7B66"/>
    <w:rsid w:val="006D0488"/>
    <w:rsid w:val="006D1647"/>
    <w:rsid w:val="006D31EA"/>
    <w:rsid w:val="006D399E"/>
    <w:rsid w:val="006D4055"/>
    <w:rsid w:val="006D412D"/>
    <w:rsid w:val="006D57E0"/>
    <w:rsid w:val="006D58B5"/>
    <w:rsid w:val="006D5BB5"/>
    <w:rsid w:val="006D5D8B"/>
    <w:rsid w:val="006D6051"/>
    <w:rsid w:val="006D6055"/>
    <w:rsid w:val="006D60D6"/>
    <w:rsid w:val="006D6638"/>
    <w:rsid w:val="006D66F4"/>
    <w:rsid w:val="006D6ED1"/>
    <w:rsid w:val="006D72CE"/>
    <w:rsid w:val="006E0831"/>
    <w:rsid w:val="006E1733"/>
    <w:rsid w:val="006E1DCE"/>
    <w:rsid w:val="006E2610"/>
    <w:rsid w:val="006E420F"/>
    <w:rsid w:val="006E506E"/>
    <w:rsid w:val="006E7EF2"/>
    <w:rsid w:val="006F0958"/>
    <w:rsid w:val="006F1132"/>
    <w:rsid w:val="006F182E"/>
    <w:rsid w:val="006F1884"/>
    <w:rsid w:val="006F395D"/>
    <w:rsid w:val="006F3E7E"/>
    <w:rsid w:val="006F451A"/>
    <w:rsid w:val="006F47C4"/>
    <w:rsid w:val="006F551B"/>
    <w:rsid w:val="006F663B"/>
    <w:rsid w:val="006F675C"/>
    <w:rsid w:val="006F6CF8"/>
    <w:rsid w:val="006F6FD7"/>
    <w:rsid w:val="006F721E"/>
    <w:rsid w:val="006F74A1"/>
    <w:rsid w:val="006F7B4E"/>
    <w:rsid w:val="006F7BF5"/>
    <w:rsid w:val="00700378"/>
    <w:rsid w:val="007006D6"/>
    <w:rsid w:val="00700F4C"/>
    <w:rsid w:val="007011CE"/>
    <w:rsid w:val="00701C92"/>
    <w:rsid w:val="0070251F"/>
    <w:rsid w:val="0070277D"/>
    <w:rsid w:val="007028A2"/>
    <w:rsid w:val="00702C9E"/>
    <w:rsid w:val="00702D00"/>
    <w:rsid w:val="00702D28"/>
    <w:rsid w:val="007035BF"/>
    <w:rsid w:val="0070384D"/>
    <w:rsid w:val="00703DF6"/>
    <w:rsid w:val="0070415B"/>
    <w:rsid w:val="00704B74"/>
    <w:rsid w:val="00711072"/>
    <w:rsid w:val="00711837"/>
    <w:rsid w:val="00711E99"/>
    <w:rsid w:val="00712FA9"/>
    <w:rsid w:val="007143C6"/>
    <w:rsid w:val="0071453B"/>
    <w:rsid w:val="00714724"/>
    <w:rsid w:val="00717AE2"/>
    <w:rsid w:val="00720D46"/>
    <w:rsid w:val="00722F77"/>
    <w:rsid w:val="00724DEA"/>
    <w:rsid w:val="0072580A"/>
    <w:rsid w:val="007267EE"/>
    <w:rsid w:val="007269D0"/>
    <w:rsid w:val="00730BE4"/>
    <w:rsid w:val="00732950"/>
    <w:rsid w:val="0073305C"/>
    <w:rsid w:val="00733CBD"/>
    <w:rsid w:val="0073410A"/>
    <w:rsid w:val="007348F7"/>
    <w:rsid w:val="007352D7"/>
    <w:rsid w:val="0073596D"/>
    <w:rsid w:val="00736BEA"/>
    <w:rsid w:val="00736FD6"/>
    <w:rsid w:val="00740D35"/>
    <w:rsid w:val="00741B51"/>
    <w:rsid w:val="00743DF7"/>
    <w:rsid w:val="00743FD7"/>
    <w:rsid w:val="00744A2E"/>
    <w:rsid w:val="0074594B"/>
    <w:rsid w:val="007460EE"/>
    <w:rsid w:val="00746611"/>
    <w:rsid w:val="007471C7"/>
    <w:rsid w:val="0074721E"/>
    <w:rsid w:val="00750C8F"/>
    <w:rsid w:val="00752C97"/>
    <w:rsid w:val="0075311A"/>
    <w:rsid w:val="0075478C"/>
    <w:rsid w:val="00754F17"/>
    <w:rsid w:val="0075615A"/>
    <w:rsid w:val="00761033"/>
    <w:rsid w:val="00761FC9"/>
    <w:rsid w:val="00762994"/>
    <w:rsid w:val="00765365"/>
    <w:rsid w:val="00767648"/>
    <w:rsid w:val="0076769C"/>
    <w:rsid w:val="00767EDD"/>
    <w:rsid w:val="00770881"/>
    <w:rsid w:val="00771901"/>
    <w:rsid w:val="007735F3"/>
    <w:rsid w:val="00773ED1"/>
    <w:rsid w:val="00774811"/>
    <w:rsid w:val="0077565F"/>
    <w:rsid w:val="007761FB"/>
    <w:rsid w:val="00780575"/>
    <w:rsid w:val="007807F8"/>
    <w:rsid w:val="007816CF"/>
    <w:rsid w:val="00781EDA"/>
    <w:rsid w:val="0078239F"/>
    <w:rsid w:val="00783A37"/>
    <w:rsid w:val="00784C91"/>
    <w:rsid w:val="00785919"/>
    <w:rsid w:val="00785B9A"/>
    <w:rsid w:val="007869DE"/>
    <w:rsid w:val="00787125"/>
    <w:rsid w:val="0078769C"/>
    <w:rsid w:val="00787B5A"/>
    <w:rsid w:val="00790622"/>
    <w:rsid w:val="00791B08"/>
    <w:rsid w:val="007920AB"/>
    <w:rsid w:val="00793669"/>
    <w:rsid w:val="00793DB2"/>
    <w:rsid w:val="00794CF1"/>
    <w:rsid w:val="00794E84"/>
    <w:rsid w:val="007965FF"/>
    <w:rsid w:val="007A0651"/>
    <w:rsid w:val="007A16DD"/>
    <w:rsid w:val="007A2F05"/>
    <w:rsid w:val="007A41D7"/>
    <w:rsid w:val="007A55A3"/>
    <w:rsid w:val="007A737C"/>
    <w:rsid w:val="007A7454"/>
    <w:rsid w:val="007B0C90"/>
    <w:rsid w:val="007B13F1"/>
    <w:rsid w:val="007B4675"/>
    <w:rsid w:val="007B48BB"/>
    <w:rsid w:val="007B4D49"/>
    <w:rsid w:val="007B53F2"/>
    <w:rsid w:val="007B5C4C"/>
    <w:rsid w:val="007B74B2"/>
    <w:rsid w:val="007C03A0"/>
    <w:rsid w:val="007C0D39"/>
    <w:rsid w:val="007C14D7"/>
    <w:rsid w:val="007C1750"/>
    <w:rsid w:val="007C19BD"/>
    <w:rsid w:val="007C1B1F"/>
    <w:rsid w:val="007C1DA2"/>
    <w:rsid w:val="007C2B31"/>
    <w:rsid w:val="007C2D45"/>
    <w:rsid w:val="007C355F"/>
    <w:rsid w:val="007C4417"/>
    <w:rsid w:val="007C46A2"/>
    <w:rsid w:val="007C49F4"/>
    <w:rsid w:val="007C70C4"/>
    <w:rsid w:val="007C70DE"/>
    <w:rsid w:val="007D196D"/>
    <w:rsid w:val="007D2459"/>
    <w:rsid w:val="007D2CA4"/>
    <w:rsid w:val="007D3697"/>
    <w:rsid w:val="007D3D98"/>
    <w:rsid w:val="007D4D00"/>
    <w:rsid w:val="007D620A"/>
    <w:rsid w:val="007D72E4"/>
    <w:rsid w:val="007D7428"/>
    <w:rsid w:val="007D7AAA"/>
    <w:rsid w:val="007E0127"/>
    <w:rsid w:val="007E1ACF"/>
    <w:rsid w:val="007E1CD3"/>
    <w:rsid w:val="007E2FBA"/>
    <w:rsid w:val="007E3A3E"/>
    <w:rsid w:val="007E4A14"/>
    <w:rsid w:val="007E5479"/>
    <w:rsid w:val="007E578D"/>
    <w:rsid w:val="007E6760"/>
    <w:rsid w:val="007E7022"/>
    <w:rsid w:val="007E72C7"/>
    <w:rsid w:val="007E7910"/>
    <w:rsid w:val="007F041B"/>
    <w:rsid w:val="007F0EC6"/>
    <w:rsid w:val="007F1A0F"/>
    <w:rsid w:val="007F1D61"/>
    <w:rsid w:val="007F1EE7"/>
    <w:rsid w:val="007F2297"/>
    <w:rsid w:val="007F246F"/>
    <w:rsid w:val="007F2563"/>
    <w:rsid w:val="0080001A"/>
    <w:rsid w:val="00800608"/>
    <w:rsid w:val="00800C6D"/>
    <w:rsid w:val="008011F5"/>
    <w:rsid w:val="0080134B"/>
    <w:rsid w:val="008013F1"/>
    <w:rsid w:val="0080488A"/>
    <w:rsid w:val="00806DF2"/>
    <w:rsid w:val="00806F1A"/>
    <w:rsid w:val="008076C0"/>
    <w:rsid w:val="00807BC5"/>
    <w:rsid w:val="00807CDF"/>
    <w:rsid w:val="00811752"/>
    <w:rsid w:val="008125F9"/>
    <w:rsid w:val="00813D96"/>
    <w:rsid w:val="00813EC4"/>
    <w:rsid w:val="00817C38"/>
    <w:rsid w:val="00822A6C"/>
    <w:rsid w:val="00822A74"/>
    <w:rsid w:val="00825CBE"/>
    <w:rsid w:val="00826FFC"/>
    <w:rsid w:val="00827652"/>
    <w:rsid w:val="00833E08"/>
    <w:rsid w:val="0083495D"/>
    <w:rsid w:val="0083694F"/>
    <w:rsid w:val="008378F4"/>
    <w:rsid w:val="0084052E"/>
    <w:rsid w:val="00840688"/>
    <w:rsid w:val="00841017"/>
    <w:rsid w:val="0084134D"/>
    <w:rsid w:val="008441B4"/>
    <w:rsid w:val="00844A63"/>
    <w:rsid w:val="0084744C"/>
    <w:rsid w:val="008511CC"/>
    <w:rsid w:val="00851517"/>
    <w:rsid w:val="0085243D"/>
    <w:rsid w:val="00854602"/>
    <w:rsid w:val="0085511D"/>
    <w:rsid w:val="0085519D"/>
    <w:rsid w:val="00855213"/>
    <w:rsid w:val="00855BD6"/>
    <w:rsid w:val="00855D08"/>
    <w:rsid w:val="00856170"/>
    <w:rsid w:val="00856FE2"/>
    <w:rsid w:val="0086004D"/>
    <w:rsid w:val="00861560"/>
    <w:rsid w:val="00861932"/>
    <w:rsid w:val="00861B0E"/>
    <w:rsid w:val="00863890"/>
    <w:rsid w:val="00863CF0"/>
    <w:rsid w:val="008649AF"/>
    <w:rsid w:val="008657B8"/>
    <w:rsid w:val="00871472"/>
    <w:rsid w:val="008731E1"/>
    <w:rsid w:val="00873255"/>
    <w:rsid w:val="00874CD5"/>
    <w:rsid w:val="00875BFB"/>
    <w:rsid w:val="0088064B"/>
    <w:rsid w:val="0088100B"/>
    <w:rsid w:val="0088215D"/>
    <w:rsid w:val="00882B4E"/>
    <w:rsid w:val="008847FE"/>
    <w:rsid w:val="0088503B"/>
    <w:rsid w:val="00885693"/>
    <w:rsid w:val="0088695B"/>
    <w:rsid w:val="00886F45"/>
    <w:rsid w:val="00887451"/>
    <w:rsid w:val="008878CB"/>
    <w:rsid w:val="008911D2"/>
    <w:rsid w:val="0089173F"/>
    <w:rsid w:val="00894AE1"/>
    <w:rsid w:val="00897949"/>
    <w:rsid w:val="00897D1D"/>
    <w:rsid w:val="008A0A32"/>
    <w:rsid w:val="008A31C1"/>
    <w:rsid w:val="008A38EF"/>
    <w:rsid w:val="008A3DD2"/>
    <w:rsid w:val="008A4080"/>
    <w:rsid w:val="008A4D25"/>
    <w:rsid w:val="008A56ED"/>
    <w:rsid w:val="008A573E"/>
    <w:rsid w:val="008A5BE0"/>
    <w:rsid w:val="008A7851"/>
    <w:rsid w:val="008B2849"/>
    <w:rsid w:val="008B37F5"/>
    <w:rsid w:val="008B706F"/>
    <w:rsid w:val="008C004C"/>
    <w:rsid w:val="008C0C10"/>
    <w:rsid w:val="008C3E1E"/>
    <w:rsid w:val="008D09C1"/>
    <w:rsid w:val="008D3462"/>
    <w:rsid w:val="008D3831"/>
    <w:rsid w:val="008D57A6"/>
    <w:rsid w:val="008D5C99"/>
    <w:rsid w:val="008D688F"/>
    <w:rsid w:val="008D712C"/>
    <w:rsid w:val="008D78D7"/>
    <w:rsid w:val="008E02EE"/>
    <w:rsid w:val="008E095B"/>
    <w:rsid w:val="008E13FC"/>
    <w:rsid w:val="008E17E3"/>
    <w:rsid w:val="008E27E2"/>
    <w:rsid w:val="008E2967"/>
    <w:rsid w:val="008E2AFD"/>
    <w:rsid w:val="008E354F"/>
    <w:rsid w:val="008E499A"/>
    <w:rsid w:val="008E5E67"/>
    <w:rsid w:val="008E7ADC"/>
    <w:rsid w:val="008F209B"/>
    <w:rsid w:val="008F232E"/>
    <w:rsid w:val="008F33F7"/>
    <w:rsid w:val="008F3F9B"/>
    <w:rsid w:val="008F4014"/>
    <w:rsid w:val="008F459A"/>
    <w:rsid w:val="008F6F5A"/>
    <w:rsid w:val="00900354"/>
    <w:rsid w:val="0090059F"/>
    <w:rsid w:val="00900723"/>
    <w:rsid w:val="00900CE1"/>
    <w:rsid w:val="00901154"/>
    <w:rsid w:val="00902CDC"/>
    <w:rsid w:val="00904B19"/>
    <w:rsid w:val="00904E7F"/>
    <w:rsid w:val="00905E9C"/>
    <w:rsid w:val="00906264"/>
    <w:rsid w:val="009064E6"/>
    <w:rsid w:val="009079AC"/>
    <w:rsid w:val="00911380"/>
    <w:rsid w:val="00911448"/>
    <w:rsid w:val="0091361D"/>
    <w:rsid w:val="00914C2E"/>
    <w:rsid w:val="00915401"/>
    <w:rsid w:val="00916DD4"/>
    <w:rsid w:val="00921664"/>
    <w:rsid w:val="00921ACF"/>
    <w:rsid w:val="009222FE"/>
    <w:rsid w:val="00922E1B"/>
    <w:rsid w:val="0092448E"/>
    <w:rsid w:val="009245F0"/>
    <w:rsid w:val="00924C91"/>
    <w:rsid w:val="009251EC"/>
    <w:rsid w:val="009257DF"/>
    <w:rsid w:val="00926874"/>
    <w:rsid w:val="00926A84"/>
    <w:rsid w:val="00933A8C"/>
    <w:rsid w:val="00933DC8"/>
    <w:rsid w:val="0093436A"/>
    <w:rsid w:val="00934582"/>
    <w:rsid w:val="00934E79"/>
    <w:rsid w:val="00936683"/>
    <w:rsid w:val="009373E8"/>
    <w:rsid w:val="009377B7"/>
    <w:rsid w:val="00937A90"/>
    <w:rsid w:val="0094164C"/>
    <w:rsid w:val="0094211F"/>
    <w:rsid w:val="0094275E"/>
    <w:rsid w:val="00942847"/>
    <w:rsid w:val="00942D6F"/>
    <w:rsid w:val="0094341B"/>
    <w:rsid w:val="009443B3"/>
    <w:rsid w:val="00944589"/>
    <w:rsid w:val="00944D1D"/>
    <w:rsid w:val="0094550F"/>
    <w:rsid w:val="0094590D"/>
    <w:rsid w:val="00945E62"/>
    <w:rsid w:val="009512A5"/>
    <w:rsid w:val="00952D23"/>
    <w:rsid w:val="009530F3"/>
    <w:rsid w:val="0095332A"/>
    <w:rsid w:val="009537C6"/>
    <w:rsid w:val="00953D50"/>
    <w:rsid w:val="009551B4"/>
    <w:rsid w:val="00956828"/>
    <w:rsid w:val="00956D01"/>
    <w:rsid w:val="0095770F"/>
    <w:rsid w:val="00957A40"/>
    <w:rsid w:val="00961A94"/>
    <w:rsid w:val="00961E66"/>
    <w:rsid w:val="00962BF8"/>
    <w:rsid w:val="00962E02"/>
    <w:rsid w:val="0096324E"/>
    <w:rsid w:val="009644D3"/>
    <w:rsid w:val="009647C4"/>
    <w:rsid w:val="00966C34"/>
    <w:rsid w:val="00967267"/>
    <w:rsid w:val="0096749E"/>
    <w:rsid w:val="009678B3"/>
    <w:rsid w:val="009679B4"/>
    <w:rsid w:val="00970641"/>
    <w:rsid w:val="00971A10"/>
    <w:rsid w:val="00972EAA"/>
    <w:rsid w:val="00976C22"/>
    <w:rsid w:val="00977851"/>
    <w:rsid w:val="00977BA1"/>
    <w:rsid w:val="009814F3"/>
    <w:rsid w:val="009827EB"/>
    <w:rsid w:val="00982F2F"/>
    <w:rsid w:val="009835A3"/>
    <w:rsid w:val="0098374F"/>
    <w:rsid w:val="009842FD"/>
    <w:rsid w:val="00985145"/>
    <w:rsid w:val="00987176"/>
    <w:rsid w:val="00987457"/>
    <w:rsid w:val="00991B80"/>
    <w:rsid w:val="009923FF"/>
    <w:rsid w:val="00993DB0"/>
    <w:rsid w:val="00993F56"/>
    <w:rsid w:val="00995738"/>
    <w:rsid w:val="00995AC0"/>
    <w:rsid w:val="009962A4"/>
    <w:rsid w:val="00996B5D"/>
    <w:rsid w:val="00997F72"/>
    <w:rsid w:val="009A0905"/>
    <w:rsid w:val="009A498A"/>
    <w:rsid w:val="009A64A6"/>
    <w:rsid w:val="009A6866"/>
    <w:rsid w:val="009A6AEE"/>
    <w:rsid w:val="009A7F71"/>
    <w:rsid w:val="009B0238"/>
    <w:rsid w:val="009B194C"/>
    <w:rsid w:val="009B1EAA"/>
    <w:rsid w:val="009B1FAC"/>
    <w:rsid w:val="009B39DF"/>
    <w:rsid w:val="009B75E8"/>
    <w:rsid w:val="009B7D54"/>
    <w:rsid w:val="009C0755"/>
    <w:rsid w:val="009C1472"/>
    <w:rsid w:val="009C2B08"/>
    <w:rsid w:val="009C2E29"/>
    <w:rsid w:val="009C5554"/>
    <w:rsid w:val="009C6941"/>
    <w:rsid w:val="009C6C15"/>
    <w:rsid w:val="009D00C1"/>
    <w:rsid w:val="009D0146"/>
    <w:rsid w:val="009D2F72"/>
    <w:rsid w:val="009D30BA"/>
    <w:rsid w:val="009D3F5D"/>
    <w:rsid w:val="009D3FCB"/>
    <w:rsid w:val="009D45DE"/>
    <w:rsid w:val="009D4C83"/>
    <w:rsid w:val="009D525B"/>
    <w:rsid w:val="009D6758"/>
    <w:rsid w:val="009D6AF7"/>
    <w:rsid w:val="009D6C8E"/>
    <w:rsid w:val="009E2AFC"/>
    <w:rsid w:val="009E353D"/>
    <w:rsid w:val="009E3614"/>
    <w:rsid w:val="009E436C"/>
    <w:rsid w:val="009E537C"/>
    <w:rsid w:val="009E65E3"/>
    <w:rsid w:val="009E6915"/>
    <w:rsid w:val="009E7451"/>
    <w:rsid w:val="009E77C0"/>
    <w:rsid w:val="009F1816"/>
    <w:rsid w:val="009F1AD5"/>
    <w:rsid w:val="009F1AD9"/>
    <w:rsid w:val="009F48E9"/>
    <w:rsid w:val="009F4B2F"/>
    <w:rsid w:val="009F51B7"/>
    <w:rsid w:val="009F5B0E"/>
    <w:rsid w:val="009F7FAE"/>
    <w:rsid w:val="00A01720"/>
    <w:rsid w:val="00A01765"/>
    <w:rsid w:val="00A026B8"/>
    <w:rsid w:val="00A06201"/>
    <w:rsid w:val="00A06835"/>
    <w:rsid w:val="00A07567"/>
    <w:rsid w:val="00A117C6"/>
    <w:rsid w:val="00A11CEB"/>
    <w:rsid w:val="00A120EB"/>
    <w:rsid w:val="00A14047"/>
    <w:rsid w:val="00A14F80"/>
    <w:rsid w:val="00A152A9"/>
    <w:rsid w:val="00A16DFA"/>
    <w:rsid w:val="00A1710A"/>
    <w:rsid w:val="00A20209"/>
    <w:rsid w:val="00A2101C"/>
    <w:rsid w:val="00A21171"/>
    <w:rsid w:val="00A2221A"/>
    <w:rsid w:val="00A2240A"/>
    <w:rsid w:val="00A23C7E"/>
    <w:rsid w:val="00A2410F"/>
    <w:rsid w:val="00A2464F"/>
    <w:rsid w:val="00A25309"/>
    <w:rsid w:val="00A26258"/>
    <w:rsid w:val="00A26644"/>
    <w:rsid w:val="00A30BBE"/>
    <w:rsid w:val="00A31642"/>
    <w:rsid w:val="00A31B76"/>
    <w:rsid w:val="00A31FE0"/>
    <w:rsid w:val="00A32B33"/>
    <w:rsid w:val="00A35279"/>
    <w:rsid w:val="00A366E8"/>
    <w:rsid w:val="00A3771F"/>
    <w:rsid w:val="00A40260"/>
    <w:rsid w:val="00A4219B"/>
    <w:rsid w:val="00A42761"/>
    <w:rsid w:val="00A435DA"/>
    <w:rsid w:val="00A43821"/>
    <w:rsid w:val="00A440FC"/>
    <w:rsid w:val="00A44C70"/>
    <w:rsid w:val="00A453A2"/>
    <w:rsid w:val="00A458A5"/>
    <w:rsid w:val="00A46C7A"/>
    <w:rsid w:val="00A475B3"/>
    <w:rsid w:val="00A51310"/>
    <w:rsid w:val="00A51789"/>
    <w:rsid w:val="00A51F68"/>
    <w:rsid w:val="00A53D3B"/>
    <w:rsid w:val="00A53EF9"/>
    <w:rsid w:val="00A54687"/>
    <w:rsid w:val="00A55DF5"/>
    <w:rsid w:val="00A562F8"/>
    <w:rsid w:val="00A56D50"/>
    <w:rsid w:val="00A64ECE"/>
    <w:rsid w:val="00A65A5E"/>
    <w:rsid w:val="00A662DD"/>
    <w:rsid w:val="00A670BF"/>
    <w:rsid w:val="00A679EF"/>
    <w:rsid w:val="00A703AE"/>
    <w:rsid w:val="00A71AB5"/>
    <w:rsid w:val="00A71C20"/>
    <w:rsid w:val="00A720B5"/>
    <w:rsid w:val="00A7535E"/>
    <w:rsid w:val="00A755A1"/>
    <w:rsid w:val="00A761E1"/>
    <w:rsid w:val="00A7637E"/>
    <w:rsid w:val="00A81234"/>
    <w:rsid w:val="00A81320"/>
    <w:rsid w:val="00A824A0"/>
    <w:rsid w:val="00A828FB"/>
    <w:rsid w:val="00A84529"/>
    <w:rsid w:val="00A865D1"/>
    <w:rsid w:val="00A87FA6"/>
    <w:rsid w:val="00A90356"/>
    <w:rsid w:val="00A905EC"/>
    <w:rsid w:val="00A91382"/>
    <w:rsid w:val="00A9236E"/>
    <w:rsid w:val="00A93135"/>
    <w:rsid w:val="00A9372E"/>
    <w:rsid w:val="00A961C9"/>
    <w:rsid w:val="00A96D02"/>
    <w:rsid w:val="00AA12A0"/>
    <w:rsid w:val="00AA14C7"/>
    <w:rsid w:val="00AA1AD5"/>
    <w:rsid w:val="00AA1AE2"/>
    <w:rsid w:val="00AA222C"/>
    <w:rsid w:val="00AA274A"/>
    <w:rsid w:val="00AA28C8"/>
    <w:rsid w:val="00AA29F5"/>
    <w:rsid w:val="00AA2BCE"/>
    <w:rsid w:val="00AA3D7A"/>
    <w:rsid w:val="00AA5BE3"/>
    <w:rsid w:val="00AA5DB4"/>
    <w:rsid w:val="00AB0381"/>
    <w:rsid w:val="00AB062D"/>
    <w:rsid w:val="00AB09A5"/>
    <w:rsid w:val="00AB1652"/>
    <w:rsid w:val="00AB3C18"/>
    <w:rsid w:val="00AB4132"/>
    <w:rsid w:val="00AB5FFD"/>
    <w:rsid w:val="00AB6427"/>
    <w:rsid w:val="00AB6D2C"/>
    <w:rsid w:val="00AC11F6"/>
    <w:rsid w:val="00AC23F1"/>
    <w:rsid w:val="00AC2987"/>
    <w:rsid w:val="00AC2BEA"/>
    <w:rsid w:val="00AC53AA"/>
    <w:rsid w:val="00AC617A"/>
    <w:rsid w:val="00AC6C36"/>
    <w:rsid w:val="00AC704B"/>
    <w:rsid w:val="00AC7B80"/>
    <w:rsid w:val="00AD00C6"/>
    <w:rsid w:val="00AD1EFC"/>
    <w:rsid w:val="00AD3372"/>
    <w:rsid w:val="00AD3BC5"/>
    <w:rsid w:val="00AD4D98"/>
    <w:rsid w:val="00AD5E61"/>
    <w:rsid w:val="00AE01FE"/>
    <w:rsid w:val="00AE1A6F"/>
    <w:rsid w:val="00AE2A58"/>
    <w:rsid w:val="00AE2E5B"/>
    <w:rsid w:val="00AE4433"/>
    <w:rsid w:val="00AE4F9C"/>
    <w:rsid w:val="00AE592A"/>
    <w:rsid w:val="00AE5AEB"/>
    <w:rsid w:val="00AE6E39"/>
    <w:rsid w:val="00AE6EFB"/>
    <w:rsid w:val="00AE71E4"/>
    <w:rsid w:val="00AF0769"/>
    <w:rsid w:val="00AF0CBA"/>
    <w:rsid w:val="00AF14A3"/>
    <w:rsid w:val="00AF1FA4"/>
    <w:rsid w:val="00AF21B3"/>
    <w:rsid w:val="00AF3A90"/>
    <w:rsid w:val="00AF3C23"/>
    <w:rsid w:val="00AF451B"/>
    <w:rsid w:val="00AF5E77"/>
    <w:rsid w:val="00AF762E"/>
    <w:rsid w:val="00B04685"/>
    <w:rsid w:val="00B05ABE"/>
    <w:rsid w:val="00B071E0"/>
    <w:rsid w:val="00B07463"/>
    <w:rsid w:val="00B12311"/>
    <w:rsid w:val="00B12AF8"/>
    <w:rsid w:val="00B12EA7"/>
    <w:rsid w:val="00B1301C"/>
    <w:rsid w:val="00B1314F"/>
    <w:rsid w:val="00B131DB"/>
    <w:rsid w:val="00B145D5"/>
    <w:rsid w:val="00B148DB"/>
    <w:rsid w:val="00B14C67"/>
    <w:rsid w:val="00B1551A"/>
    <w:rsid w:val="00B157ED"/>
    <w:rsid w:val="00B16CEA"/>
    <w:rsid w:val="00B17F90"/>
    <w:rsid w:val="00B20D1E"/>
    <w:rsid w:val="00B216F9"/>
    <w:rsid w:val="00B232C6"/>
    <w:rsid w:val="00B276B3"/>
    <w:rsid w:val="00B30B5B"/>
    <w:rsid w:val="00B31447"/>
    <w:rsid w:val="00B320E1"/>
    <w:rsid w:val="00B3311C"/>
    <w:rsid w:val="00B3332B"/>
    <w:rsid w:val="00B34A79"/>
    <w:rsid w:val="00B350AD"/>
    <w:rsid w:val="00B3648F"/>
    <w:rsid w:val="00B40200"/>
    <w:rsid w:val="00B4162E"/>
    <w:rsid w:val="00B43377"/>
    <w:rsid w:val="00B43A05"/>
    <w:rsid w:val="00B46D6E"/>
    <w:rsid w:val="00B47BFC"/>
    <w:rsid w:val="00B47C9B"/>
    <w:rsid w:val="00B5405F"/>
    <w:rsid w:val="00B540A6"/>
    <w:rsid w:val="00B54A1E"/>
    <w:rsid w:val="00B55300"/>
    <w:rsid w:val="00B564F7"/>
    <w:rsid w:val="00B56761"/>
    <w:rsid w:val="00B57149"/>
    <w:rsid w:val="00B574A9"/>
    <w:rsid w:val="00B574C5"/>
    <w:rsid w:val="00B57EF1"/>
    <w:rsid w:val="00B6072A"/>
    <w:rsid w:val="00B608F0"/>
    <w:rsid w:val="00B60C53"/>
    <w:rsid w:val="00B61E13"/>
    <w:rsid w:val="00B636D7"/>
    <w:rsid w:val="00B649FC"/>
    <w:rsid w:val="00B65C7B"/>
    <w:rsid w:val="00B65EA4"/>
    <w:rsid w:val="00B7049A"/>
    <w:rsid w:val="00B719E8"/>
    <w:rsid w:val="00B724E4"/>
    <w:rsid w:val="00B72506"/>
    <w:rsid w:val="00B73628"/>
    <w:rsid w:val="00B739A0"/>
    <w:rsid w:val="00B7487D"/>
    <w:rsid w:val="00B766E0"/>
    <w:rsid w:val="00B76A3D"/>
    <w:rsid w:val="00B77B6B"/>
    <w:rsid w:val="00B81993"/>
    <w:rsid w:val="00B83D40"/>
    <w:rsid w:val="00B849A5"/>
    <w:rsid w:val="00B8536F"/>
    <w:rsid w:val="00B86E54"/>
    <w:rsid w:val="00B870CD"/>
    <w:rsid w:val="00B87D47"/>
    <w:rsid w:val="00B913BD"/>
    <w:rsid w:val="00B91624"/>
    <w:rsid w:val="00B93385"/>
    <w:rsid w:val="00B94235"/>
    <w:rsid w:val="00B9516C"/>
    <w:rsid w:val="00B95CA2"/>
    <w:rsid w:val="00B96713"/>
    <w:rsid w:val="00B967EB"/>
    <w:rsid w:val="00BA001E"/>
    <w:rsid w:val="00BA07B0"/>
    <w:rsid w:val="00BA2DF6"/>
    <w:rsid w:val="00BA41B6"/>
    <w:rsid w:val="00BA4252"/>
    <w:rsid w:val="00BA6D10"/>
    <w:rsid w:val="00BA6F38"/>
    <w:rsid w:val="00BA79FE"/>
    <w:rsid w:val="00BB06ED"/>
    <w:rsid w:val="00BB06F5"/>
    <w:rsid w:val="00BB0D1D"/>
    <w:rsid w:val="00BB0F05"/>
    <w:rsid w:val="00BB17FC"/>
    <w:rsid w:val="00BB2FAC"/>
    <w:rsid w:val="00BB4D6C"/>
    <w:rsid w:val="00BB5227"/>
    <w:rsid w:val="00BB6868"/>
    <w:rsid w:val="00BB6B50"/>
    <w:rsid w:val="00BC2338"/>
    <w:rsid w:val="00BC2AD3"/>
    <w:rsid w:val="00BC33F6"/>
    <w:rsid w:val="00BC40DD"/>
    <w:rsid w:val="00BC5186"/>
    <w:rsid w:val="00BC5188"/>
    <w:rsid w:val="00BC58F1"/>
    <w:rsid w:val="00BC5BF6"/>
    <w:rsid w:val="00BC6199"/>
    <w:rsid w:val="00BC7851"/>
    <w:rsid w:val="00BD02D7"/>
    <w:rsid w:val="00BD148E"/>
    <w:rsid w:val="00BD33D3"/>
    <w:rsid w:val="00BD44BF"/>
    <w:rsid w:val="00BD48D4"/>
    <w:rsid w:val="00BD4E1F"/>
    <w:rsid w:val="00BD50D5"/>
    <w:rsid w:val="00BD55A1"/>
    <w:rsid w:val="00BD5923"/>
    <w:rsid w:val="00BD5CBB"/>
    <w:rsid w:val="00BD7CB9"/>
    <w:rsid w:val="00BE027A"/>
    <w:rsid w:val="00BE0F74"/>
    <w:rsid w:val="00BE19C6"/>
    <w:rsid w:val="00BE23BF"/>
    <w:rsid w:val="00BE2AE2"/>
    <w:rsid w:val="00BE30A1"/>
    <w:rsid w:val="00BE4340"/>
    <w:rsid w:val="00BE45A6"/>
    <w:rsid w:val="00BE52E9"/>
    <w:rsid w:val="00BE5D10"/>
    <w:rsid w:val="00BE68F2"/>
    <w:rsid w:val="00BE7024"/>
    <w:rsid w:val="00BE7885"/>
    <w:rsid w:val="00BF0D85"/>
    <w:rsid w:val="00BF1F86"/>
    <w:rsid w:val="00BF3AED"/>
    <w:rsid w:val="00BF481B"/>
    <w:rsid w:val="00BF5B04"/>
    <w:rsid w:val="00BF6012"/>
    <w:rsid w:val="00BF6204"/>
    <w:rsid w:val="00BF7E15"/>
    <w:rsid w:val="00C01365"/>
    <w:rsid w:val="00C01C76"/>
    <w:rsid w:val="00C04AEE"/>
    <w:rsid w:val="00C05269"/>
    <w:rsid w:val="00C10191"/>
    <w:rsid w:val="00C10E95"/>
    <w:rsid w:val="00C11F34"/>
    <w:rsid w:val="00C12FD3"/>
    <w:rsid w:val="00C13CE0"/>
    <w:rsid w:val="00C1477B"/>
    <w:rsid w:val="00C1633F"/>
    <w:rsid w:val="00C165E1"/>
    <w:rsid w:val="00C20191"/>
    <w:rsid w:val="00C20D87"/>
    <w:rsid w:val="00C20DC7"/>
    <w:rsid w:val="00C21B90"/>
    <w:rsid w:val="00C21FFF"/>
    <w:rsid w:val="00C22FA6"/>
    <w:rsid w:val="00C23A62"/>
    <w:rsid w:val="00C26091"/>
    <w:rsid w:val="00C27B88"/>
    <w:rsid w:val="00C32A0A"/>
    <w:rsid w:val="00C32D65"/>
    <w:rsid w:val="00C32EEB"/>
    <w:rsid w:val="00C3363C"/>
    <w:rsid w:val="00C35532"/>
    <w:rsid w:val="00C356F9"/>
    <w:rsid w:val="00C377FD"/>
    <w:rsid w:val="00C4376E"/>
    <w:rsid w:val="00C43E8F"/>
    <w:rsid w:val="00C445AE"/>
    <w:rsid w:val="00C4560A"/>
    <w:rsid w:val="00C45B90"/>
    <w:rsid w:val="00C46A37"/>
    <w:rsid w:val="00C46BDC"/>
    <w:rsid w:val="00C47DBE"/>
    <w:rsid w:val="00C5056D"/>
    <w:rsid w:val="00C50863"/>
    <w:rsid w:val="00C50A29"/>
    <w:rsid w:val="00C52B0E"/>
    <w:rsid w:val="00C52FEF"/>
    <w:rsid w:val="00C53592"/>
    <w:rsid w:val="00C55FE4"/>
    <w:rsid w:val="00C56A90"/>
    <w:rsid w:val="00C573CA"/>
    <w:rsid w:val="00C6012E"/>
    <w:rsid w:val="00C60D2C"/>
    <w:rsid w:val="00C6312E"/>
    <w:rsid w:val="00C634EA"/>
    <w:rsid w:val="00C640B7"/>
    <w:rsid w:val="00C644E5"/>
    <w:rsid w:val="00C647AA"/>
    <w:rsid w:val="00C64A12"/>
    <w:rsid w:val="00C65A90"/>
    <w:rsid w:val="00C66ED8"/>
    <w:rsid w:val="00C6705F"/>
    <w:rsid w:val="00C6771A"/>
    <w:rsid w:val="00C70146"/>
    <w:rsid w:val="00C70658"/>
    <w:rsid w:val="00C70FCA"/>
    <w:rsid w:val="00C712CF"/>
    <w:rsid w:val="00C7359A"/>
    <w:rsid w:val="00C73A0C"/>
    <w:rsid w:val="00C73E08"/>
    <w:rsid w:val="00C73EDB"/>
    <w:rsid w:val="00C73F79"/>
    <w:rsid w:val="00C74ED5"/>
    <w:rsid w:val="00C75730"/>
    <w:rsid w:val="00C77D43"/>
    <w:rsid w:val="00C8063A"/>
    <w:rsid w:val="00C8080E"/>
    <w:rsid w:val="00C81AC2"/>
    <w:rsid w:val="00C81F5F"/>
    <w:rsid w:val="00C81F61"/>
    <w:rsid w:val="00C83B9E"/>
    <w:rsid w:val="00C850B0"/>
    <w:rsid w:val="00C85B7F"/>
    <w:rsid w:val="00C870EB"/>
    <w:rsid w:val="00C908E1"/>
    <w:rsid w:val="00C92B6E"/>
    <w:rsid w:val="00C967F2"/>
    <w:rsid w:val="00C96A14"/>
    <w:rsid w:val="00C96DC3"/>
    <w:rsid w:val="00CA2C7D"/>
    <w:rsid w:val="00CA3775"/>
    <w:rsid w:val="00CA4510"/>
    <w:rsid w:val="00CB0439"/>
    <w:rsid w:val="00CB1546"/>
    <w:rsid w:val="00CB22EC"/>
    <w:rsid w:val="00CB3CFC"/>
    <w:rsid w:val="00CB4C3B"/>
    <w:rsid w:val="00CB537A"/>
    <w:rsid w:val="00CC2059"/>
    <w:rsid w:val="00CC403E"/>
    <w:rsid w:val="00CC538F"/>
    <w:rsid w:val="00CC6C10"/>
    <w:rsid w:val="00CD0173"/>
    <w:rsid w:val="00CD0998"/>
    <w:rsid w:val="00CD0BB6"/>
    <w:rsid w:val="00CD1587"/>
    <w:rsid w:val="00CD1E87"/>
    <w:rsid w:val="00CD3B6E"/>
    <w:rsid w:val="00CD3B91"/>
    <w:rsid w:val="00CD3DF0"/>
    <w:rsid w:val="00CD42F7"/>
    <w:rsid w:val="00CD45CA"/>
    <w:rsid w:val="00CD563A"/>
    <w:rsid w:val="00CD572A"/>
    <w:rsid w:val="00CD5A1D"/>
    <w:rsid w:val="00CD7820"/>
    <w:rsid w:val="00CE0AA1"/>
    <w:rsid w:val="00CE1399"/>
    <w:rsid w:val="00CE3440"/>
    <w:rsid w:val="00CE34C1"/>
    <w:rsid w:val="00CE4793"/>
    <w:rsid w:val="00CE4B88"/>
    <w:rsid w:val="00CE4D3F"/>
    <w:rsid w:val="00CE57EE"/>
    <w:rsid w:val="00CE61DD"/>
    <w:rsid w:val="00CE63EC"/>
    <w:rsid w:val="00CE64E8"/>
    <w:rsid w:val="00CE6D98"/>
    <w:rsid w:val="00CE6FAB"/>
    <w:rsid w:val="00CE7E03"/>
    <w:rsid w:val="00CF0D0D"/>
    <w:rsid w:val="00CF11C9"/>
    <w:rsid w:val="00CF1DAE"/>
    <w:rsid w:val="00CF4244"/>
    <w:rsid w:val="00CF51B4"/>
    <w:rsid w:val="00CF5480"/>
    <w:rsid w:val="00D01085"/>
    <w:rsid w:val="00D05170"/>
    <w:rsid w:val="00D05259"/>
    <w:rsid w:val="00D05DE1"/>
    <w:rsid w:val="00D05E9D"/>
    <w:rsid w:val="00D07654"/>
    <w:rsid w:val="00D0782A"/>
    <w:rsid w:val="00D07F8B"/>
    <w:rsid w:val="00D100FA"/>
    <w:rsid w:val="00D10E90"/>
    <w:rsid w:val="00D1185C"/>
    <w:rsid w:val="00D119EE"/>
    <w:rsid w:val="00D11A90"/>
    <w:rsid w:val="00D11DE7"/>
    <w:rsid w:val="00D13F4E"/>
    <w:rsid w:val="00D14005"/>
    <w:rsid w:val="00D14384"/>
    <w:rsid w:val="00D1574F"/>
    <w:rsid w:val="00D16BF5"/>
    <w:rsid w:val="00D2077E"/>
    <w:rsid w:val="00D213CB"/>
    <w:rsid w:val="00D21644"/>
    <w:rsid w:val="00D21679"/>
    <w:rsid w:val="00D23AB7"/>
    <w:rsid w:val="00D23F5E"/>
    <w:rsid w:val="00D25DA3"/>
    <w:rsid w:val="00D26E5C"/>
    <w:rsid w:val="00D27134"/>
    <w:rsid w:val="00D31B1F"/>
    <w:rsid w:val="00D31CB1"/>
    <w:rsid w:val="00D32127"/>
    <w:rsid w:val="00D33ED8"/>
    <w:rsid w:val="00D36A82"/>
    <w:rsid w:val="00D37B0C"/>
    <w:rsid w:val="00D409CF"/>
    <w:rsid w:val="00D40AC7"/>
    <w:rsid w:val="00D41254"/>
    <w:rsid w:val="00D419D4"/>
    <w:rsid w:val="00D4202F"/>
    <w:rsid w:val="00D43134"/>
    <w:rsid w:val="00D446D1"/>
    <w:rsid w:val="00D45246"/>
    <w:rsid w:val="00D45845"/>
    <w:rsid w:val="00D46279"/>
    <w:rsid w:val="00D4761E"/>
    <w:rsid w:val="00D5097D"/>
    <w:rsid w:val="00D517BB"/>
    <w:rsid w:val="00D52635"/>
    <w:rsid w:val="00D53292"/>
    <w:rsid w:val="00D537FC"/>
    <w:rsid w:val="00D547D2"/>
    <w:rsid w:val="00D5523D"/>
    <w:rsid w:val="00D5535A"/>
    <w:rsid w:val="00D57004"/>
    <w:rsid w:val="00D60798"/>
    <w:rsid w:val="00D61119"/>
    <w:rsid w:val="00D62CEE"/>
    <w:rsid w:val="00D64886"/>
    <w:rsid w:val="00D64E5E"/>
    <w:rsid w:val="00D65201"/>
    <w:rsid w:val="00D67436"/>
    <w:rsid w:val="00D67E33"/>
    <w:rsid w:val="00D70202"/>
    <w:rsid w:val="00D70228"/>
    <w:rsid w:val="00D7066C"/>
    <w:rsid w:val="00D7078E"/>
    <w:rsid w:val="00D7107F"/>
    <w:rsid w:val="00D72735"/>
    <w:rsid w:val="00D72A06"/>
    <w:rsid w:val="00D7305A"/>
    <w:rsid w:val="00D73B86"/>
    <w:rsid w:val="00D75386"/>
    <w:rsid w:val="00D75A99"/>
    <w:rsid w:val="00D75A9D"/>
    <w:rsid w:val="00D75C46"/>
    <w:rsid w:val="00D75E52"/>
    <w:rsid w:val="00D76D90"/>
    <w:rsid w:val="00D777CB"/>
    <w:rsid w:val="00D80EBF"/>
    <w:rsid w:val="00D816B8"/>
    <w:rsid w:val="00D8200F"/>
    <w:rsid w:val="00D8232F"/>
    <w:rsid w:val="00D83765"/>
    <w:rsid w:val="00D8513C"/>
    <w:rsid w:val="00D9035C"/>
    <w:rsid w:val="00D903E5"/>
    <w:rsid w:val="00D9088E"/>
    <w:rsid w:val="00D90B30"/>
    <w:rsid w:val="00D9172B"/>
    <w:rsid w:val="00D9173C"/>
    <w:rsid w:val="00D9231B"/>
    <w:rsid w:val="00D92EF3"/>
    <w:rsid w:val="00D9308B"/>
    <w:rsid w:val="00D94CA7"/>
    <w:rsid w:val="00DA06B7"/>
    <w:rsid w:val="00DA0951"/>
    <w:rsid w:val="00DA1097"/>
    <w:rsid w:val="00DA1231"/>
    <w:rsid w:val="00DA1344"/>
    <w:rsid w:val="00DA172E"/>
    <w:rsid w:val="00DA1B69"/>
    <w:rsid w:val="00DA5829"/>
    <w:rsid w:val="00DA7361"/>
    <w:rsid w:val="00DA77F6"/>
    <w:rsid w:val="00DA7903"/>
    <w:rsid w:val="00DB1DF4"/>
    <w:rsid w:val="00DB2B43"/>
    <w:rsid w:val="00DB3A24"/>
    <w:rsid w:val="00DB4619"/>
    <w:rsid w:val="00DB6B96"/>
    <w:rsid w:val="00DB6E8A"/>
    <w:rsid w:val="00DB7264"/>
    <w:rsid w:val="00DB746F"/>
    <w:rsid w:val="00DC04D8"/>
    <w:rsid w:val="00DC0D26"/>
    <w:rsid w:val="00DC306A"/>
    <w:rsid w:val="00DC3B38"/>
    <w:rsid w:val="00DC47A7"/>
    <w:rsid w:val="00DC525E"/>
    <w:rsid w:val="00DC6848"/>
    <w:rsid w:val="00DC73CE"/>
    <w:rsid w:val="00DD0258"/>
    <w:rsid w:val="00DD02A1"/>
    <w:rsid w:val="00DD07CA"/>
    <w:rsid w:val="00DD12C2"/>
    <w:rsid w:val="00DD29AD"/>
    <w:rsid w:val="00DD4489"/>
    <w:rsid w:val="00DD485A"/>
    <w:rsid w:val="00DD4964"/>
    <w:rsid w:val="00DD5989"/>
    <w:rsid w:val="00DD7295"/>
    <w:rsid w:val="00DD7C37"/>
    <w:rsid w:val="00DE04C5"/>
    <w:rsid w:val="00DE20EB"/>
    <w:rsid w:val="00DE3F8D"/>
    <w:rsid w:val="00DE4F33"/>
    <w:rsid w:val="00DE7159"/>
    <w:rsid w:val="00DE742D"/>
    <w:rsid w:val="00DE7F05"/>
    <w:rsid w:val="00DF0215"/>
    <w:rsid w:val="00DF0AB3"/>
    <w:rsid w:val="00DF0AD8"/>
    <w:rsid w:val="00DF0DAA"/>
    <w:rsid w:val="00DF1B60"/>
    <w:rsid w:val="00DF258F"/>
    <w:rsid w:val="00DF48B8"/>
    <w:rsid w:val="00DF577B"/>
    <w:rsid w:val="00DF7028"/>
    <w:rsid w:val="00DF7067"/>
    <w:rsid w:val="00E0286C"/>
    <w:rsid w:val="00E029A3"/>
    <w:rsid w:val="00E02EFA"/>
    <w:rsid w:val="00E03CC9"/>
    <w:rsid w:val="00E07DD9"/>
    <w:rsid w:val="00E07F43"/>
    <w:rsid w:val="00E11145"/>
    <w:rsid w:val="00E11646"/>
    <w:rsid w:val="00E12B54"/>
    <w:rsid w:val="00E12E07"/>
    <w:rsid w:val="00E1337C"/>
    <w:rsid w:val="00E13807"/>
    <w:rsid w:val="00E145CE"/>
    <w:rsid w:val="00E14EE8"/>
    <w:rsid w:val="00E15321"/>
    <w:rsid w:val="00E15995"/>
    <w:rsid w:val="00E16760"/>
    <w:rsid w:val="00E17214"/>
    <w:rsid w:val="00E17B90"/>
    <w:rsid w:val="00E204AB"/>
    <w:rsid w:val="00E208FC"/>
    <w:rsid w:val="00E22030"/>
    <w:rsid w:val="00E224C7"/>
    <w:rsid w:val="00E22DF1"/>
    <w:rsid w:val="00E2366D"/>
    <w:rsid w:val="00E2409B"/>
    <w:rsid w:val="00E24E73"/>
    <w:rsid w:val="00E271F1"/>
    <w:rsid w:val="00E30612"/>
    <w:rsid w:val="00E30D16"/>
    <w:rsid w:val="00E3226D"/>
    <w:rsid w:val="00E331DD"/>
    <w:rsid w:val="00E33BE8"/>
    <w:rsid w:val="00E33EFE"/>
    <w:rsid w:val="00E342B8"/>
    <w:rsid w:val="00E34338"/>
    <w:rsid w:val="00E35E6E"/>
    <w:rsid w:val="00E36662"/>
    <w:rsid w:val="00E3695D"/>
    <w:rsid w:val="00E37A70"/>
    <w:rsid w:val="00E37BDF"/>
    <w:rsid w:val="00E4075C"/>
    <w:rsid w:val="00E42976"/>
    <w:rsid w:val="00E43943"/>
    <w:rsid w:val="00E445F0"/>
    <w:rsid w:val="00E44885"/>
    <w:rsid w:val="00E456FF"/>
    <w:rsid w:val="00E45F4E"/>
    <w:rsid w:val="00E460C9"/>
    <w:rsid w:val="00E47119"/>
    <w:rsid w:val="00E471F9"/>
    <w:rsid w:val="00E500CF"/>
    <w:rsid w:val="00E5212B"/>
    <w:rsid w:val="00E527D5"/>
    <w:rsid w:val="00E52E25"/>
    <w:rsid w:val="00E53084"/>
    <w:rsid w:val="00E545FD"/>
    <w:rsid w:val="00E55531"/>
    <w:rsid w:val="00E560EC"/>
    <w:rsid w:val="00E56CEF"/>
    <w:rsid w:val="00E60CBC"/>
    <w:rsid w:val="00E62D1C"/>
    <w:rsid w:val="00E630F6"/>
    <w:rsid w:val="00E643C6"/>
    <w:rsid w:val="00E649CD"/>
    <w:rsid w:val="00E6522F"/>
    <w:rsid w:val="00E663F7"/>
    <w:rsid w:val="00E66553"/>
    <w:rsid w:val="00E66DC7"/>
    <w:rsid w:val="00E66FBB"/>
    <w:rsid w:val="00E6759A"/>
    <w:rsid w:val="00E70739"/>
    <w:rsid w:val="00E71149"/>
    <w:rsid w:val="00E72402"/>
    <w:rsid w:val="00E75EA0"/>
    <w:rsid w:val="00E81A78"/>
    <w:rsid w:val="00E82A8E"/>
    <w:rsid w:val="00E848C0"/>
    <w:rsid w:val="00E84C25"/>
    <w:rsid w:val="00E86943"/>
    <w:rsid w:val="00E87C5C"/>
    <w:rsid w:val="00E87D9A"/>
    <w:rsid w:val="00E87FDF"/>
    <w:rsid w:val="00E90C2B"/>
    <w:rsid w:val="00E91BDB"/>
    <w:rsid w:val="00E91E96"/>
    <w:rsid w:val="00E95688"/>
    <w:rsid w:val="00E95CE1"/>
    <w:rsid w:val="00E96645"/>
    <w:rsid w:val="00E97C41"/>
    <w:rsid w:val="00EA190D"/>
    <w:rsid w:val="00EA2B9A"/>
    <w:rsid w:val="00EA3BA0"/>
    <w:rsid w:val="00EA3FFA"/>
    <w:rsid w:val="00EA4437"/>
    <w:rsid w:val="00EA5580"/>
    <w:rsid w:val="00EA6BED"/>
    <w:rsid w:val="00EA6DFA"/>
    <w:rsid w:val="00EB0718"/>
    <w:rsid w:val="00EB1F36"/>
    <w:rsid w:val="00EB238E"/>
    <w:rsid w:val="00EB3EE0"/>
    <w:rsid w:val="00EB4D2E"/>
    <w:rsid w:val="00EB644E"/>
    <w:rsid w:val="00EB6D33"/>
    <w:rsid w:val="00EB70A1"/>
    <w:rsid w:val="00EC0649"/>
    <w:rsid w:val="00EC0A28"/>
    <w:rsid w:val="00EC2818"/>
    <w:rsid w:val="00EC3F8B"/>
    <w:rsid w:val="00EC4DE6"/>
    <w:rsid w:val="00EC55B9"/>
    <w:rsid w:val="00EC5704"/>
    <w:rsid w:val="00EC5FE9"/>
    <w:rsid w:val="00EC6CB4"/>
    <w:rsid w:val="00EC6E51"/>
    <w:rsid w:val="00EC6EE1"/>
    <w:rsid w:val="00EC734B"/>
    <w:rsid w:val="00EC73A3"/>
    <w:rsid w:val="00ED04F3"/>
    <w:rsid w:val="00ED145B"/>
    <w:rsid w:val="00ED17D1"/>
    <w:rsid w:val="00ED2538"/>
    <w:rsid w:val="00ED2F6B"/>
    <w:rsid w:val="00ED36DD"/>
    <w:rsid w:val="00ED3CC9"/>
    <w:rsid w:val="00EE062E"/>
    <w:rsid w:val="00EE1B18"/>
    <w:rsid w:val="00EE2318"/>
    <w:rsid w:val="00EE23C2"/>
    <w:rsid w:val="00EE2B47"/>
    <w:rsid w:val="00EE2D4A"/>
    <w:rsid w:val="00EE3B85"/>
    <w:rsid w:val="00EE42CF"/>
    <w:rsid w:val="00EE44F0"/>
    <w:rsid w:val="00EE4A09"/>
    <w:rsid w:val="00EE5C96"/>
    <w:rsid w:val="00EE66EB"/>
    <w:rsid w:val="00EF004D"/>
    <w:rsid w:val="00EF4EAE"/>
    <w:rsid w:val="00EF5349"/>
    <w:rsid w:val="00EF5ACE"/>
    <w:rsid w:val="00EF5E85"/>
    <w:rsid w:val="00EF61D2"/>
    <w:rsid w:val="00F0016D"/>
    <w:rsid w:val="00F008DB"/>
    <w:rsid w:val="00F01659"/>
    <w:rsid w:val="00F01C0E"/>
    <w:rsid w:val="00F04967"/>
    <w:rsid w:val="00F04D80"/>
    <w:rsid w:val="00F06B8F"/>
    <w:rsid w:val="00F07B4E"/>
    <w:rsid w:val="00F1000B"/>
    <w:rsid w:val="00F1169B"/>
    <w:rsid w:val="00F116DD"/>
    <w:rsid w:val="00F117FB"/>
    <w:rsid w:val="00F11CBA"/>
    <w:rsid w:val="00F147D6"/>
    <w:rsid w:val="00F14980"/>
    <w:rsid w:val="00F15F5C"/>
    <w:rsid w:val="00F1646E"/>
    <w:rsid w:val="00F2136F"/>
    <w:rsid w:val="00F23D7F"/>
    <w:rsid w:val="00F24175"/>
    <w:rsid w:val="00F24434"/>
    <w:rsid w:val="00F24730"/>
    <w:rsid w:val="00F24F25"/>
    <w:rsid w:val="00F25B7E"/>
    <w:rsid w:val="00F2658C"/>
    <w:rsid w:val="00F27089"/>
    <w:rsid w:val="00F27D80"/>
    <w:rsid w:val="00F30325"/>
    <w:rsid w:val="00F32BAD"/>
    <w:rsid w:val="00F373A0"/>
    <w:rsid w:val="00F37C48"/>
    <w:rsid w:val="00F40557"/>
    <w:rsid w:val="00F406EA"/>
    <w:rsid w:val="00F409DB"/>
    <w:rsid w:val="00F40A44"/>
    <w:rsid w:val="00F40DE7"/>
    <w:rsid w:val="00F40DEF"/>
    <w:rsid w:val="00F4111C"/>
    <w:rsid w:val="00F41613"/>
    <w:rsid w:val="00F43E56"/>
    <w:rsid w:val="00F44501"/>
    <w:rsid w:val="00F45B8A"/>
    <w:rsid w:val="00F46578"/>
    <w:rsid w:val="00F5167A"/>
    <w:rsid w:val="00F51E79"/>
    <w:rsid w:val="00F52891"/>
    <w:rsid w:val="00F5428C"/>
    <w:rsid w:val="00F54814"/>
    <w:rsid w:val="00F54D1C"/>
    <w:rsid w:val="00F555C9"/>
    <w:rsid w:val="00F56EA8"/>
    <w:rsid w:val="00F57D1D"/>
    <w:rsid w:val="00F60EE4"/>
    <w:rsid w:val="00F6173C"/>
    <w:rsid w:val="00F62CF0"/>
    <w:rsid w:val="00F6321C"/>
    <w:rsid w:val="00F713AF"/>
    <w:rsid w:val="00F72354"/>
    <w:rsid w:val="00F723FD"/>
    <w:rsid w:val="00F72ADC"/>
    <w:rsid w:val="00F73F7F"/>
    <w:rsid w:val="00F766CE"/>
    <w:rsid w:val="00F804D1"/>
    <w:rsid w:val="00F80A4B"/>
    <w:rsid w:val="00F81995"/>
    <w:rsid w:val="00F82085"/>
    <w:rsid w:val="00F820B9"/>
    <w:rsid w:val="00F83446"/>
    <w:rsid w:val="00F849B5"/>
    <w:rsid w:val="00F85074"/>
    <w:rsid w:val="00F856FE"/>
    <w:rsid w:val="00F85F21"/>
    <w:rsid w:val="00F868BE"/>
    <w:rsid w:val="00F86CC0"/>
    <w:rsid w:val="00F86D30"/>
    <w:rsid w:val="00F872AA"/>
    <w:rsid w:val="00F878BD"/>
    <w:rsid w:val="00F90169"/>
    <w:rsid w:val="00F918F3"/>
    <w:rsid w:val="00F91B81"/>
    <w:rsid w:val="00F91C54"/>
    <w:rsid w:val="00F92131"/>
    <w:rsid w:val="00F92C9D"/>
    <w:rsid w:val="00F93A45"/>
    <w:rsid w:val="00F95377"/>
    <w:rsid w:val="00F95905"/>
    <w:rsid w:val="00F95949"/>
    <w:rsid w:val="00F975CE"/>
    <w:rsid w:val="00F977E7"/>
    <w:rsid w:val="00F97FD5"/>
    <w:rsid w:val="00FA0573"/>
    <w:rsid w:val="00FA0653"/>
    <w:rsid w:val="00FA0868"/>
    <w:rsid w:val="00FA09E9"/>
    <w:rsid w:val="00FA2D5C"/>
    <w:rsid w:val="00FA32C2"/>
    <w:rsid w:val="00FA3AE6"/>
    <w:rsid w:val="00FA3F52"/>
    <w:rsid w:val="00FA60E9"/>
    <w:rsid w:val="00FB292B"/>
    <w:rsid w:val="00FB3F56"/>
    <w:rsid w:val="00FB4F13"/>
    <w:rsid w:val="00FB4F22"/>
    <w:rsid w:val="00FB5C86"/>
    <w:rsid w:val="00FB5DFA"/>
    <w:rsid w:val="00FB60C5"/>
    <w:rsid w:val="00FB6289"/>
    <w:rsid w:val="00FB67C4"/>
    <w:rsid w:val="00FB6BE7"/>
    <w:rsid w:val="00FB7250"/>
    <w:rsid w:val="00FC0841"/>
    <w:rsid w:val="00FC1A99"/>
    <w:rsid w:val="00FC1F4A"/>
    <w:rsid w:val="00FC3363"/>
    <w:rsid w:val="00FC3AB5"/>
    <w:rsid w:val="00FC55DC"/>
    <w:rsid w:val="00FC650C"/>
    <w:rsid w:val="00FC6C24"/>
    <w:rsid w:val="00FC6FFF"/>
    <w:rsid w:val="00FC7136"/>
    <w:rsid w:val="00FD0519"/>
    <w:rsid w:val="00FD096C"/>
    <w:rsid w:val="00FD13A9"/>
    <w:rsid w:val="00FD1401"/>
    <w:rsid w:val="00FD4584"/>
    <w:rsid w:val="00FD4685"/>
    <w:rsid w:val="00FD46CB"/>
    <w:rsid w:val="00FD4CEC"/>
    <w:rsid w:val="00FD52DA"/>
    <w:rsid w:val="00FD6069"/>
    <w:rsid w:val="00FE062E"/>
    <w:rsid w:val="00FE10D2"/>
    <w:rsid w:val="00FE286D"/>
    <w:rsid w:val="00FE3A87"/>
    <w:rsid w:val="00FE3B6E"/>
    <w:rsid w:val="00FE3D57"/>
    <w:rsid w:val="00FE49D2"/>
    <w:rsid w:val="00FE58E7"/>
    <w:rsid w:val="00FE5AD0"/>
    <w:rsid w:val="00FE6A65"/>
    <w:rsid w:val="00FE74D7"/>
    <w:rsid w:val="00FF0262"/>
    <w:rsid w:val="00FF19FD"/>
    <w:rsid w:val="00FF1A6C"/>
    <w:rsid w:val="00FF40C6"/>
    <w:rsid w:val="00FF4210"/>
    <w:rsid w:val="01E20B2D"/>
    <w:rsid w:val="027638C2"/>
    <w:rsid w:val="03031543"/>
    <w:rsid w:val="030D13EC"/>
    <w:rsid w:val="035079F4"/>
    <w:rsid w:val="03882E27"/>
    <w:rsid w:val="03F90E6C"/>
    <w:rsid w:val="04592CC7"/>
    <w:rsid w:val="052E67F0"/>
    <w:rsid w:val="082360E0"/>
    <w:rsid w:val="08581727"/>
    <w:rsid w:val="08EA7B74"/>
    <w:rsid w:val="09083C4D"/>
    <w:rsid w:val="09B70AE0"/>
    <w:rsid w:val="09E25911"/>
    <w:rsid w:val="09F859A1"/>
    <w:rsid w:val="0A2F31DC"/>
    <w:rsid w:val="0AAF5597"/>
    <w:rsid w:val="0BFD35EB"/>
    <w:rsid w:val="0C2B68C3"/>
    <w:rsid w:val="0C501248"/>
    <w:rsid w:val="0C855377"/>
    <w:rsid w:val="0CFA4117"/>
    <w:rsid w:val="0CFA7DB2"/>
    <w:rsid w:val="0D1C75D8"/>
    <w:rsid w:val="0DAB09E0"/>
    <w:rsid w:val="0DDB008B"/>
    <w:rsid w:val="0F154929"/>
    <w:rsid w:val="0F1D6BA6"/>
    <w:rsid w:val="0F2B221B"/>
    <w:rsid w:val="0F720AAE"/>
    <w:rsid w:val="0F9130AB"/>
    <w:rsid w:val="0FCD3CC3"/>
    <w:rsid w:val="10655ECC"/>
    <w:rsid w:val="111920D2"/>
    <w:rsid w:val="112B669C"/>
    <w:rsid w:val="11902636"/>
    <w:rsid w:val="11A81801"/>
    <w:rsid w:val="1205653A"/>
    <w:rsid w:val="125B2643"/>
    <w:rsid w:val="12757A53"/>
    <w:rsid w:val="12E45FCB"/>
    <w:rsid w:val="136B1BB6"/>
    <w:rsid w:val="13F22A8E"/>
    <w:rsid w:val="15BF6A0C"/>
    <w:rsid w:val="16347DD6"/>
    <w:rsid w:val="168F04B4"/>
    <w:rsid w:val="173D141B"/>
    <w:rsid w:val="17FF6B62"/>
    <w:rsid w:val="185349C7"/>
    <w:rsid w:val="18E079B9"/>
    <w:rsid w:val="195233D7"/>
    <w:rsid w:val="198818FD"/>
    <w:rsid w:val="19F57775"/>
    <w:rsid w:val="1A4B086A"/>
    <w:rsid w:val="1A5D728E"/>
    <w:rsid w:val="1A617E5B"/>
    <w:rsid w:val="1AB7438B"/>
    <w:rsid w:val="1ACA3B59"/>
    <w:rsid w:val="1B741723"/>
    <w:rsid w:val="1BA6656E"/>
    <w:rsid w:val="1BE3405F"/>
    <w:rsid w:val="1CD61EE5"/>
    <w:rsid w:val="1CED0DAD"/>
    <w:rsid w:val="1D7747AD"/>
    <w:rsid w:val="1D7B1599"/>
    <w:rsid w:val="1DF43429"/>
    <w:rsid w:val="1E780BDC"/>
    <w:rsid w:val="1EC17316"/>
    <w:rsid w:val="1EDE483F"/>
    <w:rsid w:val="1F313685"/>
    <w:rsid w:val="1FA2656A"/>
    <w:rsid w:val="210F25BF"/>
    <w:rsid w:val="21EC731E"/>
    <w:rsid w:val="22085A89"/>
    <w:rsid w:val="22A86AA3"/>
    <w:rsid w:val="22F876A0"/>
    <w:rsid w:val="236E6DF5"/>
    <w:rsid w:val="23DC4AFD"/>
    <w:rsid w:val="24C75032"/>
    <w:rsid w:val="259F172C"/>
    <w:rsid w:val="27A636BA"/>
    <w:rsid w:val="28047591"/>
    <w:rsid w:val="280806D6"/>
    <w:rsid w:val="29040391"/>
    <w:rsid w:val="2B67642C"/>
    <w:rsid w:val="2B6F391D"/>
    <w:rsid w:val="2B9B2960"/>
    <w:rsid w:val="2BE33E51"/>
    <w:rsid w:val="2C104B23"/>
    <w:rsid w:val="2C196FF0"/>
    <w:rsid w:val="2C4331DC"/>
    <w:rsid w:val="2C670653"/>
    <w:rsid w:val="2CB12B28"/>
    <w:rsid w:val="2D58229E"/>
    <w:rsid w:val="2DD168CC"/>
    <w:rsid w:val="2E483163"/>
    <w:rsid w:val="2E9C55D3"/>
    <w:rsid w:val="2ED544C3"/>
    <w:rsid w:val="2EE84E42"/>
    <w:rsid w:val="2F4509A6"/>
    <w:rsid w:val="2F5229F4"/>
    <w:rsid w:val="2F7667B4"/>
    <w:rsid w:val="2F9D140F"/>
    <w:rsid w:val="2FBB4394"/>
    <w:rsid w:val="2FFE5E34"/>
    <w:rsid w:val="303D2A87"/>
    <w:rsid w:val="3051008C"/>
    <w:rsid w:val="30B1194A"/>
    <w:rsid w:val="318568C7"/>
    <w:rsid w:val="31CA6E22"/>
    <w:rsid w:val="31D46EF6"/>
    <w:rsid w:val="32FA505E"/>
    <w:rsid w:val="330141D1"/>
    <w:rsid w:val="332D0A18"/>
    <w:rsid w:val="345831DD"/>
    <w:rsid w:val="34A46AFD"/>
    <w:rsid w:val="356307EB"/>
    <w:rsid w:val="357E2C67"/>
    <w:rsid w:val="35D16B08"/>
    <w:rsid w:val="36554DAB"/>
    <w:rsid w:val="37F92B31"/>
    <w:rsid w:val="381B776F"/>
    <w:rsid w:val="3900387F"/>
    <w:rsid w:val="39CA06C6"/>
    <w:rsid w:val="3B442A96"/>
    <w:rsid w:val="3B4E2B87"/>
    <w:rsid w:val="3B7A2DA1"/>
    <w:rsid w:val="3BA01FED"/>
    <w:rsid w:val="3BE634A6"/>
    <w:rsid w:val="3C723D25"/>
    <w:rsid w:val="3C901941"/>
    <w:rsid w:val="3D3A0D61"/>
    <w:rsid w:val="3DAE0DF1"/>
    <w:rsid w:val="3DD65958"/>
    <w:rsid w:val="3E1552EE"/>
    <w:rsid w:val="3E2E0DEE"/>
    <w:rsid w:val="3E613AC8"/>
    <w:rsid w:val="3ED00B2B"/>
    <w:rsid w:val="3F2A1444"/>
    <w:rsid w:val="40442FF3"/>
    <w:rsid w:val="406124DB"/>
    <w:rsid w:val="407476FD"/>
    <w:rsid w:val="40A66C2D"/>
    <w:rsid w:val="40F44B13"/>
    <w:rsid w:val="41F77F9A"/>
    <w:rsid w:val="426E5506"/>
    <w:rsid w:val="42B03114"/>
    <w:rsid w:val="436731F9"/>
    <w:rsid w:val="43A3291A"/>
    <w:rsid w:val="43C11ED3"/>
    <w:rsid w:val="43E047CE"/>
    <w:rsid w:val="43F9262D"/>
    <w:rsid w:val="443F7C07"/>
    <w:rsid w:val="44676954"/>
    <w:rsid w:val="449D1924"/>
    <w:rsid w:val="44B700F0"/>
    <w:rsid w:val="44C85757"/>
    <w:rsid w:val="45577984"/>
    <w:rsid w:val="459179B3"/>
    <w:rsid w:val="45C903F5"/>
    <w:rsid w:val="4699022D"/>
    <w:rsid w:val="475A6C14"/>
    <w:rsid w:val="47861BA1"/>
    <w:rsid w:val="47A154A2"/>
    <w:rsid w:val="480027BA"/>
    <w:rsid w:val="48455D55"/>
    <w:rsid w:val="48E057BF"/>
    <w:rsid w:val="4A61440E"/>
    <w:rsid w:val="4AC73C0D"/>
    <w:rsid w:val="4B1E48F2"/>
    <w:rsid w:val="4B8D1235"/>
    <w:rsid w:val="4BBA46CF"/>
    <w:rsid w:val="4D08629E"/>
    <w:rsid w:val="4D7E116E"/>
    <w:rsid w:val="4DF46F29"/>
    <w:rsid w:val="4E9D5B52"/>
    <w:rsid w:val="4F0F4D24"/>
    <w:rsid w:val="4F2F569C"/>
    <w:rsid w:val="4F6E7D20"/>
    <w:rsid w:val="50131269"/>
    <w:rsid w:val="503813A5"/>
    <w:rsid w:val="50A957D2"/>
    <w:rsid w:val="50B93BE4"/>
    <w:rsid w:val="50CB2469"/>
    <w:rsid w:val="50E554C0"/>
    <w:rsid w:val="50E563FD"/>
    <w:rsid w:val="510B5A48"/>
    <w:rsid w:val="51150741"/>
    <w:rsid w:val="5142459B"/>
    <w:rsid w:val="519A63C0"/>
    <w:rsid w:val="52620233"/>
    <w:rsid w:val="527C00F5"/>
    <w:rsid w:val="53212093"/>
    <w:rsid w:val="543947B6"/>
    <w:rsid w:val="54587C2C"/>
    <w:rsid w:val="545C054B"/>
    <w:rsid w:val="54A60ABF"/>
    <w:rsid w:val="55310757"/>
    <w:rsid w:val="5532170C"/>
    <w:rsid w:val="56347ABE"/>
    <w:rsid w:val="57D3498D"/>
    <w:rsid w:val="57E14F8B"/>
    <w:rsid w:val="58756127"/>
    <w:rsid w:val="59876873"/>
    <w:rsid w:val="59A548ED"/>
    <w:rsid w:val="59D016BA"/>
    <w:rsid w:val="59D81234"/>
    <w:rsid w:val="5A48498F"/>
    <w:rsid w:val="5A7B71A3"/>
    <w:rsid w:val="5B0E314D"/>
    <w:rsid w:val="5B0F17D8"/>
    <w:rsid w:val="5B15208C"/>
    <w:rsid w:val="5B435E8E"/>
    <w:rsid w:val="5BA4370C"/>
    <w:rsid w:val="5C9003F7"/>
    <w:rsid w:val="5D570724"/>
    <w:rsid w:val="5DC24DFF"/>
    <w:rsid w:val="5DFE65F8"/>
    <w:rsid w:val="5E420DBD"/>
    <w:rsid w:val="5F631CE3"/>
    <w:rsid w:val="602B5935"/>
    <w:rsid w:val="605D60DC"/>
    <w:rsid w:val="6086780C"/>
    <w:rsid w:val="60A46AD2"/>
    <w:rsid w:val="60B36231"/>
    <w:rsid w:val="616D4D3C"/>
    <w:rsid w:val="61970843"/>
    <w:rsid w:val="62762323"/>
    <w:rsid w:val="629C3191"/>
    <w:rsid w:val="62ED1117"/>
    <w:rsid w:val="62F8174D"/>
    <w:rsid w:val="634215A0"/>
    <w:rsid w:val="6404747C"/>
    <w:rsid w:val="650C424A"/>
    <w:rsid w:val="65707CF8"/>
    <w:rsid w:val="66243600"/>
    <w:rsid w:val="66442612"/>
    <w:rsid w:val="674621E8"/>
    <w:rsid w:val="67840B15"/>
    <w:rsid w:val="67E659C7"/>
    <w:rsid w:val="68645172"/>
    <w:rsid w:val="688B3D1C"/>
    <w:rsid w:val="68FA29E4"/>
    <w:rsid w:val="691376F6"/>
    <w:rsid w:val="69207B01"/>
    <w:rsid w:val="692D3459"/>
    <w:rsid w:val="69C26183"/>
    <w:rsid w:val="69C32042"/>
    <w:rsid w:val="6A146ACB"/>
    <w:rsid w:val="6A1E3E9A"/>
    <w:rsid w:val="6A2263C4"/>
    <w:rsid w:val="6A2B1957"/>
    <w:rsid w:val="6A6F05CD"/>
    <w:rsid w:val="6AA9758D"/>
    <w:rsid w:val="6AB272B0"/>
    <w:rsid w:val="6ACF5385"/>
    <w:rsid w:val="6C1F42A6"/>
    <w:rsid w:val="6C5D7172"/>
    <w:rsid w:val="6CA12CBC"/>
    <w:rsid w:val="6CAF050B"/>
    <w:rsid w:val="6CD273B5"/>
    <w:rsid w:val="6DDC20BE"/>
    <w:rsid w:val="6E8E462F"/>
    <w:rsid w:val="6EA0312D"/>
    <w:rsid w:val="6EE1687A"/>
    <w:rsid w:val="6EE94ECE"/>
    <w:rsid w:val="6F143DBB"/>
    <w:rsid w:val="6F2B319F"/>
    <w:rsid w:val="6FDA52B0"/>
    <w:rsid w:val="70431C66"/>
    <w:rsid w:val="710F6AA2"/>
    <w:rsid w:val="71A32ABE"/>
    <w:rsid w:val="72222538"/>
    <w:rsid w:val="738B3B02"/>
    <w:rsid w:val="73D916C8"/>
    <w:rsid w:val="74232D84"/>
    <w:rsid w:val="755F6ED1"/>
    <w:rsid w:val="766E68C8"/>
    <w:rsid w:val="76A95DEE"/>
    <w:rsid w:val="77C432D1"/>
    <w:rsid w:val="782606BE"/>
    <w:rsid w:val="7915759B"/>
    <w:rsid w:val="791F62E3"/>
    <w:rsid w:val="79273D94"/>
    <w:rsid w:val="79294EA7"/>
    <w:rsid w:val="797A408F"/>
    <w:rsid w:val="79B41E7D"/>
    <w:rsid w:val="7ACC6277"/>
    <w:rsid w:val="7B1E5827"/>
    <w:rsid w:val="7B30055C"/>
    <w:rsid w:val="7BC56C75"/>
    <w:rsid w:val="7BE40445"/>
    <w:rsid w:val="7BE854DB"/>
    <w:rsid w:val="7BEE28D7"/>
    <w:rsid w:val="7C800F6B"/>
    <w:rsid w:val="7D060BE9"/>
    <w:rsid w:val="7F184F0F"/>
    <w:rsid w:val="7F8F0210"/>
    <w:rsid w:val="7F9B1BD5"/>
  </w:rsids>
  <m:mathPr>
    <m:mathFont m:val="Cambria Math"/>
    <m:brkBin m:val="before"/>
    <m:brkBinSub m:val="--"/>
    <m:smallFrac m:val="1"/>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paragraph" w:styleId="2">
    <w:name w:val="heading 1"/>
    <w:basedOn w:val="1"/>
    <w:next w:val="1"/>
    <w:link w:val="21"/>
    <w:qFormat/>
    <w:uiPriority w:val="0"/>
    <w:pPr>
      <w:keepNext/>
      <w:spacing w:before="240" w:after="60" w:line="240" w:lineRule="auto"/>
      <w:outlineLvl w:val="0"/>
    </w:pPr>
    <w:rPr>
      <w:rFonts w:ascii="Arial" w:hAnsi="Arial" w:eastAsia="Times New Roman"/>
      <w:b/>
      <w:kern w:val="28"/>
      <w:sz w:val="28"/>
      <w:szCs w:val="20"/>
    </w:rPr>
  </w:style>
  <w:style w:type="paragraph" w:styleId="3">
    <w:name w:val="heading 2"/>
    <w:basedOn w:val="1"/>
    <w:next w:val="1"/>
    <w:link w:val="49"/>
    <w:semiHidden/>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5"/>
    <w:basedOn w:val="1"/>
    <w:next w:val="1"/>
    <w:link w:val="48"/>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5">
    <w:name w:val="heading 7"/>
    <w:basedOn w:val="1"/>
    <w:next w:val="1"/>
    <w:link w:val="22"/>
    <w:semiHidden/>
    <w:unhideWhenUsed/>
    <w:qFormat/>
    <w:uiPriority w:val="9"/>
    <w:pPr>
      <w:spacing w:before="240" w:after="60"/>
      <w:outlineLvl w:val="6"/>
    </w:pPr>
    <w:rPr>
      <w:rFonts w:eastAsia="Times New Roman"/>
      <w:sz w:val="24"/>
      <w:szCs w:val="24"/>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5"/>
    <w:unhideWhenUsed/>
    <w:qFormat/>
    <w:uiPriority w:val="99"/>
    <w:pPr>
      <w:spacing w:after="0" w:line="240" w:lineRule="auto"/>
    </w:pPr>
    <w:rPr>
      <w:rFonts w:ascii="Tahoma" w:hAnsi="Tahoma" w:cs="Tahoma"/>
      <w:sz w:val="16"/>
      <w:szCs w:val="16"/>
    </w:rPr>
  </w:style>
  <w:style w:type="paragraph" w:styleId="9">
    <w:name w:val="Body Text"/>
    <w:basedOn w:val="1"/>
    <w:link w:val="46"/>
    <w:semiHidden/>
    <w:unhideWhenUsed/>
    <w:qFormat/>
    <w:uiPriority w:val="99"/>
    <w:pPr>
      <w:spacing w:after="120"/>
    </w:pPr>
  </w:style>
  <w:style w:type="paragraph" w:styleId="10">
    <w:name w:val="Body Text Indent"/>
    <w:basedOn w:val="1"/>
    <w:link w:val="26"/>
    <w:qFormat/>
    <w:uiPriority w:val="0"/>
    <w:pPr>
      <w:spacing w:after="0" w:line="360" w:lineRule="auto"/>
      <w:ind w:firstLine="720"/>
      <w:jc w:val="both"/>
    </w:pPr>
    <w:rPr>
      <w:rFonts w:ascii="Times New Roman" w:hAnsi="Times New Roman" w:eastAsia="Times New Roman"/>
      <w:sz w:val="24"/>
      <w:szCs w:val="24"/>
    </w:rPr>
  </w:style>
  <w:style w:type="paragraph" w:styleId="11">
    <w:name w:val="caption"/>
    <w:basedOn w:val="1"/>
    <w:next w:val="1"/>
    <w:qFormat/>
    <w:uiPriority w:val="0"/>
    <w:pPr>
      <w:spacing w:after="0" w:line="240" w:lineRule="auto"/>
    </w:pPr>
    <w:rPr>
      <w:rFonts w:ascii="Times New Roman" w:hAnsi="Times New Roman" w:eastAsia="Times New Roman"/>
      <w:b/>
      <w:bCs/>
      <w:sz w:val="20"/>
      <w:szCs w:val="20"/>
    </w:rPr>
  </w:style>
  <w:style w:type="character" w:styleId="12">
    <w:name w:val="FollowedHyperlink"/>
    <w:basedOn w:val="6"/>
    <w:semiHidden/>
    <w:unhideWhenUsed/>
    <w:qFormat/>
    <w:uiPriority w:val="99"/>
    <w:rPr>
      <w:color w:val="800080"/>
      <w:u w:val="single"/>
    </w:rPr>
  </w:style>
  <w:style w:type="paragraph" w:styleId="13">
    <w:name w:val="footer"/>
    <w:basedOn w:val="1"/>
    <w:link w:val="28"/>
    <w:unhideWhenUsed/>
    <w:qFormat/>
    <w:uiPriority w:val="99"/>
    <w:pPr>
      <w:tabs>
        <w:tab w:val="center" w:pos="4513"/>
        <w:tab w:val="right" w:pos="9026"/>
      </w:tabs>
    </w:pPr>
  </w:style>
  <w:style w:type="character" w:styleId="14">
    <w:name w:val="footnote reference"/>
    <w:basedOn w:val="6"/>
    <w:semiHidden/>
    <w:unhideWhenUsed/>
    <w:qFormat/>
    <w:uiPriority w:val="99"/>
    <w:rPr>
      <w:vertAlign w:val="superscript"/>
    </w:rPr>
  </w:style>
  <w:style w:type="paragraph" w:styleId="15">
    <w:name w:val="footnote text"/>
    <w:basedOn w:val="1"/>
    <w:link w:val="45"/>
    <w:semiHidden/>
    <w:unhideWhenUsed/>
    <w:qFormat/>
    <w:uiPriority w:val="99"/>
    <w:pPr>
      <w:spacing w:after="0" w:line="240" w:lineRule="auto"/>
    </w:pPr>
    <w:rPr>
      <w:sz w:val="20"/>
      <w:szCs w:val="20"/>
    </w:rPr>
  </w:style>
  <w:style w:type="paragraph" w:styleId="16">
    <w:name w:val="header"/>
    <w:basedOn w:val="1"/>
    <w:link w:val="27"/>
    <w:semiHidden/>
    <w:unhideWhenUsed/>
    <w:qFormat/>
    <w:uiPriority w:val="99"/>
    <w:pPr>
      <w:tabs>
        <w:tab w:val="center" w:pos="4513"/>
        <w:tab w:val="right" w:pos="9026"/>
      </w:tabs>
    </w:pPr>
  </w:style>
  <w:style w:type="character" w:styleId="17">
    <w:name w:val="Hyperlink"/>
    <w:basedOn w:val="6"/>
    <w:unhideWhenUsed/>
    <w:qFormat/>
    <w:uiPriority w:val="99"/>
    <w:rPr>
      <w:color w:val="0000FF"/>
      <w:u w:val="single"/>
    </w:rPr>
  </w:style>
  <w:style w:type="paragraph" w:styleId="18">
    <w:name w:val="List Bullet"/>
    <w:basedOn w:val="1"/>
    <w:qFormat/>
    <w:uiPriority w:val="0"/>
    <w:pPr>
      <w:spacing w:after="0" w:line="240" w:lineRule="auto"/>
      <w:ind w:left="4820"/>
      <w:jc w:val="center"/>
    </w:pPr>
    <w:rPr>
      <w:rFonts w:eastAsia="Times New Roman"/>
      <w:b/>
      <w:i/>
      <w:color w:val="000000"/>
      <w:sz w:val="80"/>
      <w:szCs w:val="80"/>
      <w:lang w:val="id-ID"/>
    </w:rPr>
  </w:style>
  <w:style w:type="table" w:styleId="19">
    <w:name w:val="Table Grid"/>
    <w:basedOn w:val="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20">
    <w:name w:val="Title"/>
    <w:basedOn w:val="1"/>
    <w:link w:val="29"/>
    <w:qFormat/>
    <w:uiPriority w:val="0"/>
    <w:pPr>
      <w:numPr>
        <w:ilvl w:val="0"/>
        <w:numId w:val="1"/>
      </w:numPr>
      <w:spacing w:after="0" w:line="240" w:lineRule="auto"/>
      <w:jc w:val="center"/>
    </w:pPr>
    <w:rPr>
      <w:rFonts w:ascii="Times New Roman" w:hAnsi="Times New Roman" w:eastAsia="Times New Roman"/>
      <w:b/>
      <w:bCs/>
      <w:sz w:val="24"/>
      <w:szCs w:val="24"/>
    </w:rPr>
  </w:style>
  <w:style w:type="character" w:customStyle="1" w:styleId="21">
    <w:name w:val="Heading 1 Char"/>
    <w:basedOn w:val="6"/>
    <w:link w:val="2"/>
    <w:qFormat/>
    <w:uiPriority w:val="0"/>
    <w:rPr>
      <w:rFonts w:ascii="Arial" w:hAnsi="Arial" w:eastAsia="Times New Roman"/>
      <w:b/>
      <w:kern w:val="28"/>
      <w:sz w:val="28"/>
      <w:lang w:val="en-US" w:eastAsia="en-US"/>
    </w:rPr>
  </w:style>
  <w:style w:type="character" w:customStyle="1" w:styleId="22">
    <w:name w:val="Heading 7 Char"/>
    <w:basedOn w:val="6"/>
    <w:link w:val="5"/>
    <w:semiHidden/>
    <w:qFormat/>
    <w:uiPriority w:val="9"/>
    <w:rPr>
      <w:rFonts w:ascii="Calibri" w:hAnsi="Calibri" w:eastAsia="Times New Roman" w:cs="Times New Roman"/>
      <w:sz w:val="24"/>
      <w:szCs w:val="24"/>
      <w:lang w:val="en-US" w:eastAsia="en-US"/>
    </w:rPr>
  </w:style>
  <w:style w:type="paragraph" w:styleId="23">
    <w:name w:val="No Spacing"/>
    <w:link w:val="24"/>
    <w:qFormat/>
    <w:uiPriority w:val="1"/>
    <w:pPr>
      <w:spacing w:after="200" w:line="276" w:lineRule="auto"/>
    </w:pPr>
    <w:rPr>
      <w:rFonts w:ascii="Calibri" w:hAnsi="Calibri" w:eastAsia="Times New Roman" w:cs="Times New Roman"/>
      <w:sz w:val="22"/>
      <w:szCs w:val="22"/>
      <w:lang w:val="en-US" w:eastAsia="en-US" w:bidi="ar-SA"/>
    </w:rPr>
  </w:style>
  <w:style w:type="character" w:customStyle="1" w:styleId="24">
    <w:name w:val="No Spacing Char"/>
    <w:basedOn w:val="6"/>
    <w:link w:val="23"/>
    <w:qFormat/>
    <w:uiPriority w:val="1"/>
    <w:rPr>
      <w:rFonts w:eastAsia="Times New Roman"/>
      <w:sz w:val="22"/>
      <w:szCs w:val="22"/>
      <w:lang w:val="en-US" w:eastAsia="en-US" w:bidi="ar-SA"/>
    </w:rPr>
  </w:style>
  <w:style w:type="character" w:customStyle="1" w:styleId="25">
    <w:name w:val="Balloon Text Char"/>
    <w:basedOn w:val="6"/>
    <w:link w:val="8"/>
    <w:qFormat/>
    <w:uiPriority w:val="99"/>
    <w:rPr>
      <w:rFonts w:ascii="Tahoma" w:hAnsi="Tahoma" w:cs="Tahoma"/>
      <w:sz w:val="16"/>
      <w:szCs w:val="16"/>
      <w:lang w:val="en-US" w:eastAsia="en-US"/>
    </w:rPr>
  </w:style>
  <w:style w:type="character" w:customStyle="1" w:styleId="26">
    <w:name w:val="Body Text Indent Char"/>
    <w:basedOn w:val="6"/>
    <w:link w:val="10"/>
    <w:qFormat/>
    <w:uiPriority w:val="0"/>
    <w:rPr>
      <w:rFonts w:ascii="Times New Roman" w:hAnsi="Times New Roman" w:eastAsia="Times New Roman"/>
      <w:sz w:val="24"/>
      <w:szCs w:val="24"/>
      <w:lang w:val="en-US" w:eastAsia="en-US"/>
    </w:rPr>
  </w:style>
  <w:style w:type="character" w:customStyle="1" w:styleId="27">
    <w:name w:val="Header Char"/>
    <w:basedOn w:val="6"/>
    <w:link w:val="16"/>
    <w:semiHidden/>
    <w:qFormat/>
    <w:uiPriority w:val="99"/>
    <w:rPr>
      <w:sz w:val="22"/>
      <w:szCs w:val="22"/>
      <w:lang w:val="en-US" w:eastAsia="en-US"/>
    </w:rPr>
  </w:style>
  <w:style w:type="character" w:customStyle="1" w:styleId="28">
    <w:name w:val="Footer Char"/>
    <w:basedOn w:val="6"/>
    <w:link w:val="13"/>
    <w:qFormat/>
    <w:uiPriority w:val="99"/>
    <w:rPr>
      <w:sz w:val="22"/>
      <w:szCs w:val="22"/>
      <w:lang w:val="en-US" w:eastAsia="en-US"/>
    </w:rPr>
  </w:style>
  <w:style w:type="character" w:customStyle="1" w:styleId="29">
    <w:name w:val="Title Char"/>
    <w:basedOn w:val="6"/>
    <w:link w:val="20"/>
    <w:qFormat/>
    <w:uiPriority w:val="0"/>
    <w:rPr>
      <w:rFonts w:eastAsia="Times New Roman"/>
      <w:b/>
      <w:bCs/>
      <w:sz w:val="24"/>
      <w:szCs w:val="24"/>
      <w:lang w:val="en-US" w:eastAsia="en-US"/>
    </w:rPr>
  </w:style>
  <w:style w:type="paragraph" w:styleId="30">
    <w:name w:val="List Paragraph"/>
    <w:basedOn w:val="1"/>
    <w:link w:val="50"/>
    <w:qFormat/>
    <w:uiPriority w:val="34"/>
    <w:pPr>
      <w:ind w:left="720"/>
      <w:contextualSpacing/>
    </w:pPr>
  </w:style>
  <w:style w:type="paragraph" w:customStyle="1" w:styleId="31">
    <w:name w:val="CM36"/>
    <w:basedOn w:val="1"/>
    <w:next w:val="1"/>
    <w:qFormat/>
    <w:uiPriority w:val="99"/>
    <w:pPr>
      <w:widowControl w:val="0"/>
      <w:autoSpaceDE w:val="0"/>
      <w:autoSpaceDN w:val="0"/>
      <w:adjustRightInd w:val="0"/>
      <w:spacing w:after="275" w:line="240" w:lineRule="auto"/>
    </w:pPr>
    <w:rPr>
      <w:rFonts w:ascii="Arial" w:hAnsi="Arial" w:eastAsia="Times New Roman" w:cs="Arial"/>
      <w:sz w:val="24"/>
      <w:szCs w:val="24"/>
      <w:lang w:val="id-ID" w:eastAsia="id-ID"/>
    </w:rPr>
  </w:style>
  <w:style w:type="paragraph" w:customStyle="1" w:styleId="32">
    <w:name w:val="Default"/>
    <w:qFormat/>
    <w:uiPriority w:val="0"/>
    <w:pPr>
      <w:widowControl w:val="0"/>
      <w:autoSpaceDE w:val="0"/>
      <w:autoSpaceDN w:val="0"/>
      <w:adjustRightInd w:val="0"/>
      <w:spacing w:after="200" w:line="276" w:lineRule="auto"/>
    </w:pPr>
    <w:rPr>
      <w:rFonts w:ascii="Arial" w:hAnsi="Arial" w:eastAsia="Times New Roman" w:cs="Arial"/>
      <w:color w:val="000000"/>
      <w:sz w:val="24"/>
      <w:szCs w:val="24"/>
      <w:lang w:val="id-ID" w:eastAsia="id-ID" w:bidi="ar-SA"/>
    </w:rPr>
  </w:style>
  <w:style w:type="paragraph" w:customStyle="1" w:styleId="33">
    <w:name w:val="CM37"/>
    <w:basedOn w:val="32"/>
    <w:next w:val="32"/>
    <w:qFormat/>
    <w:uiPriority w:val="99"/>
    <w:pPr>
      <w:spacing w:after="550"/>
    </w:pPr>
    <w:rPr>
      <w:color w:val="auto"/>
    </w:rPr>
  </w:style>
  <w:style w:type="paragraph" w:customStyle="1" w:styleId="34">
    <w:name w:val="CM40"/>
    <w:basedOn w:val="32"/>
    <w:next w:val="32"/>
    <w:qFormat/>
    <w:uiPriority w:val="99"/>
    <w:pPr>
      <w:spacing w:after="375"/>
    </w:pPr>
    <w:rPr>
      <w:color w:val="auto"/>
    </w:rPr>
  </w:style>
  <w:style w:type="paragraph" w:customStyle="1" w:styleId="35">
    <w:name w:val="CM38"/>
    <w:basedOn w:val="32"/>
    <w:next w:val="32"/>
    <w:qFormat/>
    <w:uiPriority w:val="99"/>
    <w:pPr>
      <w:spacing w:after="1105"/>
    </w:pPr>
    <w:rPr>
      <w:color w:val="auto"/>
    </w:rPr>
  </w:style>
  <w:style w:type="paragraph" w:customStyle="1" w:styleId="36">
    <w:name w:val="CM1"/>
    <w:basedOn w:val="32"/>
    <w:next w:val="32"/>
    <w:qFormat/>
    <w:uiPriority w:val="99"/>
    <w:pPr>
      <w:spacing w:line="276" w:lineRule="atLeast"/>
    </w:pPr>
    <w:rPr>
      <w:color w:val="auto"/>
    </w:rPr>
  </w:style>
  <w:style w:type="paragraph" w:customStyle="1" w:styleId="37">
    <w:name w:val="CM39"/>
    <w:basedOn w:val="32"/>
    <w:next w:val="32"/>
    <w:qFormat/>
    <w:uiPriority w:val="99"/>
    <w:pPr>
      <w:spacing w:after="828"/>
    </w:pPr>
    <w:rPr>
      <w:color w:val="auto"/>
    </w:rPr>
  </w:style>
  <w:style w:type="paragraph" w:customStyle="1" w:styleId="38">
    <w:name w:val="CM12"/>
    <w:basedOn w:val="32"/>
    <w:next w:val="32"/>
    <w:qFormat/>
    <w:uiPriority w:val="99"/>
    <w:pPr>
      <w:spacing w:line="276" w:lineRule="atLeast"/>
    </w:pPr>
    <w:rPr>
      <w:color w:val="auto"/>
    </w:rPr>
  </w:style>
  <w:style w:type="paragraph" w:customStyle="1" w:styleId="39">
    <w:name w:val="CM8"/>
    <w:basedOn w:val="32"/>
    <w:next w:val="32"/>
    <w:qFormat/>
    <w:uiPriority w:val="99"/>
    <w:pPr>
      <w:spacing w:line="276" w:lineRule="atLeast"/>
    </w:pPr>
    <w:rPr>
      <w:color w:val="auto"/>
    </w:rPr>
  </w:style>
  <w:style w:type="paragraph" w:customStyle="1" w:styleId="40">
    <w:name w:val="CM20"/>
    <w:basedOn w:val="32"/>
    <w:next w:val="32"/>
    <w:qFormat/>
    <w:uiPriority w:val="99"/>
    <w:pPr>
      <w:spacing w:line="276" w:lineRule="atLeast"/>
    </w:pPr>
    <w:rPr>
      <w:color w:val="auto"/>
    </w:rPr>
  </w:style>
  <w:style w:type="paragraph" w:customStyle="1" w:styleId="41">
    <w:name w:val="CM24"/>
    <w:basedOn w:val="32"/>
    <w:next w:val="32"/>
    <w:qFormat/>
    <w:uiPriority w:val="99"/>
    <w:pPr>
      <w:spacing w:line="276" w:lineRule="atLeast"/>
    </w:pPr>
    <w:rPr>
      <w:color w:val="auto"/>
    </w:rPr>
  </w:style>
  <w:style w:type="paragraph" w:customStyle="1" w:styleId="42">
    <w:name w:val="CM17"/>
    <w:basedOn w:val="32"/>
    <w:next w:val="32"/>
    <w:qFormat/>
    <w:uiPriority w:val="99"/>
    <w:pPr>
      <w:spacing w:line="276" w:lineRule="atLeast"/>
    </w:pPr>
    <w:rPr>
      <w:color w:val="auto"/>
    </w:rPr>
  </w:style>
  <w:style w:type="paragraph" w:customStyle="1" w:styleId="43">
    <w:name w:val="CM41"/>
    <w:basedOn w:val="32"/>
    <w:next w:val="32"/>
    <w:qFormat/>
    <w:uiPriority w:val="99"/>
    <w:pPr>
      <w:spacing w:after="275"/>
    </w:pPr>
    <w:rPr>
      <w:color w:val="auto"/>
    </w:rPr>
  </w:style>
  <w:style w:type="paragraph" w:customStyle="1" w:styleId="44">
    <w:name w:val="CM30"/>
    <w:basedOn w:val="32"/>
    <w:next w:val="32"/>
    <w:qFormat/>
    <w:uiPriority w:val="99"/>
    <w:rPr>
      <w:color w:val="auto"/>
    </w:rPr>
  </w:style>
  <w:style w:type="character" w:customStyle="1" w:styleId="45">
    <w:name w:val="Footnote Text Char"/>
    <w:basedOn w:val="6"/>
    <w:link w:val="15"/>
    <w:semiHidden/>
    <w:qFormat/>
    <w:uiPriority w:val="99"/>
  </w:style>
  <w:style w:type="character" w:customStyle="1" w:styleId="46">
    <w:name w:val="Body Text Char"/>
    <w:basedOn w:val="6"/>
    <w:link w:val="9"/>
    <w:semiHidden/>
    <w:qFormat/>
    <w:uiPriority w:val="99"/>
    <w:rPr>
      <w:sz w:val="22"/>
      <w:szCs w:val="22"/>
      <w:lang w:val="en-US" w:eastAsia="en-US"/>
    </w:rPr>
  </w:style>
  <w:style w:type="paragraph" w:customStyle="1" w:styleId="47">
    <w:name w:val="List Paragraph1"/>
    <w:basedOn w:val="1"/>
    <w:qFormat/>
    <w:uiPriority w:val="0"/>
    <w:pPr>
      <w:ind w:left="720"/>
    </w:pPr>
    <w:rPr>
      <w:rFonts w:ascii="Times New Roman" w:hAnsi="Times New Roman" w:eastAsia="Times New Roman"/>
      <w:sz w:val="24"/>
      <w:szCs w:val="24"/>
    </w:rPr>
  </w:style>
  <w:style w:type="character" w:customStyle="1" w:styleId="48">
    <w:name w:val="Heading 5 Char"/>
    <w:basedOn w:val="6"/>
    <w:link w:val="4"/>
    <w:semiHidden/>
    <w:qFormat/>
    <w:uiPriority w:val="9"/>
    <w:rPr>
      <w:rFonts w:asciiTheme="majorHAnsi" w:hAnsiTheme="majorHAnsi" w:eastAsiaTheme="majorEastAsia" w:cstheme="majorBidi"/>
      <w:color w:val="254061" w:themeColor="accent1" w:themeShade="80"/>
      <w:sz w:val="22"/>
      <w:szCs w:val="22"/>
      <w:lang w:val="en-US" w:eastAsia="en-US"/>
    </w:rPr>
  </w:style>
  <w:style w:type="character" w:customStyle="1" w:styleId="49">
    <w:name w:val="Heading 2 Char"/>
    <w:basedOn w:val="6"/>
    <w:link w:val="3"/>
    <w:semiHidden/>
    <w:qFormat/>
    <w:uiPriority w:val="9"/>
    <w:rPr>
      <w:rFonts w:asciiTheme="majorHAnsi" w:hAnsiTheme="majorHAnsi" w:eastAsiaTheme="majorEastAsia" w:cstheme="majorBidi"/>
      <w:b/>
      <w:bCs/>
      <w:color w:val="4F81BD" w:themeColor="accent1"/>
      <w:sz w:val="26"/>
      <w:szCs w:val="26"/>
      <w:lang w:val="en-US" w:eastAsia="en-US"/>
      <w14:textFill>
        <w14:solidFill>
          <w14:schemeClr w14:val="accent1"/>
        </w14:solidFill>
      </w14:textFill>
    </w:rPr>
  </w:style>
  <w:style w:type="character" w:customStyle="1" w:styleId="50">
    <w:name w:val="List Paragraph Char"/>
    <w:link w:val="30"/>
    <w:qFormat/>
    <w:locked/>
    <w:uiPriority w:val="0"/>
    <w:rPr>
      <w:sz w:val="22"/>
      <w:szCs w:val="22"/>
      <w:lang w:val="en-US"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9.jpeg"/><Relationship Id="rId32" Type="http://schemas.openxmlformats.org/officeDocument/2006/relationships/image" Target="media/image8.jpeg"/><Relationship Id="rId31" Type="http://schemas.openxmlformats.org/officeDocument/2006/relationships/image" Target="media/image7.jpeg"/><Relationship Id="rId30" Type="http://schemas.openxmlformats.org/officeDocument/2006/relationships/chart" Target="charts/chart2.xml"/><Relationship Id="rId3" Type="http://schemas.openxmlformats.org/officeDocument/2006/relationships/footnotes" Target="footnotes.xml"/><Relationship Id="rId29" Type="http://schemas.openxmlformats.org/officeDocument/2006/relationships/chart" Target="charts/chart1.xml"/><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Realisasi</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tx>
                <c:rich>
                  <a:bodyPr rot="0" spcFirstLastPara="0" vertOverflow="ellipsis" vert="horz" wrap="square" lIns="38100" tIns="19050" rIns="38100" bIns="19050" anchor="ctr" anchorCtr="1"/>
                  <a:lstStyle/>
                  <a:p>
                    <a:pPr>
                      <a:defRPr lang="en-US" sz="900" b="1" i="0" u="none" strike="noStrike" kern="1200" baseline="0">
                        <a:solidFill>
                          <a:sysClr val="windowText" lastClr="000000"/>
                        </a:solidFill>
                        <a:latin typeface="+mn-lt"/>
                        <a:ea typeface="+mn-ea"/>
                        <a:cs typeface="+mn-cs"/>
                      </a:defRPr>
                    </a:pPr>
                    <a:r>
                      <a:rPr>
                        <a:solidFill>
                          <a:sysClr val="windowText" lastClr="000000"/>
                        </a:solidFill>
                      </a:rPr>
                      <a:t>Rp1.964.148.975.798,55,-</a:t>
                    </a:r>
                    <a:endParaRPr>
                      <a:solidFill>
                        <a:sysClr val="windowText" lastClr="000000"/>
                      </a:solidFill>
                    </a:endParaRPr>
                  </a:p>
                </c:rich>
              </c:tx>
              <c:dLblPos val="inEnd"/>
              <c:showLegendKey val="0"/>
              <c:showVal val="1"/>
              <c:showCatName val="0"/>
              <c:showSerName val="0"/>
              <c:showPercent val="0"/>
              <c:showBubbleSize val="0"/>
              <c:extLst>
                <c:ext xmlns:c15="http://schemas.microsoft.com/office/drawing/2012/chart" uri="{CE6537A1-D6FC-4f65-9D91-7224C49458BB}">
                  <c15:layout>
                    <c:manualLayout>
                      <c:w val="0.324190973733856"/>
                      <c:h val="0.0477707006369427"/>
                    </c:manualLayout>
                  </c15:layout>
                </c:ext>
              </c:extLst>
            </c:dLbl>
            <c:dLbl>
              <c:idx val="1"/>
              <c:layout>
                <c:manualLayout>
                  <c:x val="-0.0203163546655057"/>
                  <c:y val="0"/>
                </c:manualLayout>
              </c:layout>
              <c:tx>
                <c:rich>
                  <a:bodyPr rot="0" spcFirstLastPara="0" vertOverflow="ellipsis" vert="horz" wrap="square" lIns="38100" tIns="19050" rIns="38100" bIns="19050" anchor="ctr" anchorCtr="1"/>
                  <a:lstStyle/>
                  <a:p>
                    <a:pPr>
                      <a:defRPr lang="en-US" sz="900" b="1" i="0" u="none" strike="noStrike" kern="1200" baseline="0">
                        <a:solidFill>
                          <a:sysClr val="windowText" lastClr="000000"/>
                        </a:solidFill>
                        <a:latin typeface="+mn-lt"/>
                        <a:ea typeface="+mn-ea"/>
                        <a:cs typeface="+mn-cs"/>
                      </a:defRPr>
                    </a:pPr>
                    <a:r>
                      <a:rPr>
                        <a:solidFill>
                          <a:sysClr val="windowText" lastClr="000000"/>
                        </a:solidFill>
                      </a:rPr>
                      <a:t>Rp2.134.010.519.503,41</a:t>
                    </a:r>
                    <a:endParaRPr>
                      <a:solidFill>
                        <a:sysClr val="windowText" lastClr="000000"/>
                      </a:solidFill>
                    </a:endParaRPr>
                  </a:p>
                </c:rich>
              </c:tx>
              <c:dLblPos val="inEnd"/>
              <c:showLegendKey val="0"/>
              <c:showVal val="1"/>
              <c:showCatName val="0"/>
              <c:showSerName val="0"/>
              <c:showPercent val="0"/>
              <c:showBubbleSize val="0"/>
              <c:extLst>
                <c:ext xmlns:c15="http://schemas.microsoft.com/office/drawing/2012/chart" uri="{CE6537A1-D6FC-4f65-9D91-7224C49458BB}">
                  <c15:layout>
                    <c:manualLayout>
                      <c:w val="0.292555507183283"/>
                      <c:h val="0.0278131634819533"/>
                    </c:manualLayout>
                  </c15:layout>
                </c:ext>
              </c:extLst>
            </c:dLbl>
            <c:dLbl>
              <c:idx val="2"/>
              <c:layout>
                <c:manualLayout>
                  <c:x val="0.0219126396749383"/>
                  <c:y val="0"/>
                </c:manualLayout>
              </c:layout>
              <c:tx>
                <c:rich>
                  <a:bodyPr rot="0" spcFirstLastPara="0" vertOverflow="ellipsis" vert="horz" wrap="square" lIns="38100" tIns="19050" rIns="38100" bIns="19050" anchor="ctr" anchorCtr="1"/>
                  <a:lstStyle/>
                  <a:p>
                    <a:pPr>
                      <a:defRPr lang="en-US" sz="900" b="1" i="0" u="none" strike="noStrike" kern="1200" baseline="0">
                        <a:solidFill>
                          <a:sysClr val="windowText" lastClr="000000"/>
                        </a:solidFill>
                        <a:latin typeface="+mn-lt"/>
                        <a:ea typeface="+mn-ea"/>
                        <a:cs typeface="+mn-cs"/>
                      </a:defRPr>
                    </a:pPr>
                    <a:r>
                      <a:rPr>
                        <a:solidFill>
                          <a:sysClr val="windowText" lastClr="000000"/>
                        </a:solidFill>
                      </a:rPr>
                      <a:t>Rp2.275.090.068.586,90</a:t>
                    </a:r>
                    <a:endParaRPr>
                      <a:solidFill>
                        <a:sysClr val="windowText" lastClr="000000"/>
                      </a:solidFill>
                    </a:endParaRPr>
                  </a:p>
                </c:rich>
              </c:tx>
              <c:dLblPos val="inEnd"/>
              <c:showLegendKey val="0"/>
              <c:showVal val="1"/>
              <c:showCatName val="0"/>
              <c:showSerName val="0"/>
              <c:showPercent val="0"/>
              <c:showBubbleSize val="0"/>
              <c:extLst>
                <c:ext xmlns:c15="http://schemas.microsoft.com/office/drawing/2012/chart" uri="{CE6537A1-D6FC-4f65-9D91-7224C49458BB}">
                  <c15:layout>
                    <c:manualLayout>
                      <c:w val="0.296763894935423"/>
                      <c:h val="0.056687898089172"/>
                    </c:manualLayout>
                  </c15:layout>
                </c:ext>
              </c:extLst>
            </c:dLbl>
            <c:dLbl>
              <c:idx val="3"/>
              <c:layout>
                <c:manualLayout>
                  <c:x val="0.005625"/>
                  <c:y val="-0.0475"/>
                </c:manualLayout>
              </c:layout>
              <c:tx>
                <c:rich>
                  <a:bodyPr rot="0" spcFirstLastPara="0" vertOverflow="ellipsis" vert="horz" wrap="square" lIns="38100" tIns="19050" rIns="38100" bIns="19050" anchor="ctr" anchorCtr="1"/>
                  <a:lstStyle/>
                  <a:p>
                    <a:pPr>
                      <a:defRPr lang="en-US" sz="900" b="1" i="0" u="none" strike="noStrike" kern="1200" baseline="0">
                        <a:solidFill>
                          <a:sysClr val="windowText" lastClr="000000"/>
                        </a:solidFill>
                        <a:latin typeface="+mn-lt"/>
                        <a:ea typeface="+mn-ea"/>
                        <a:cs typeface="+mn-cs"/>
                      </a:defRPr>
                    </a:pPr>
                    <a:r>
                      <a:rPr>
                        <a:solidFill>
                          <a:sysClr val="windowText" lastClr="000000"/>
                        </a:solidFill>
                      </a:rPr>
                      <a:t>Rp2.328.432.873.686,19</a:t>
                    </a:r>
                    <a:endParaRPr>
                      <a:solidFill>
                        <a:sysClr val="windowText" lastClr="000000"/>
                      </a:solidFill>
                    </a:endParaRPr>
                  </a:p>
                </c:rich>
              </c:tx>
              <c:dLblPos val="inEnd"/>
              <c:showLegendKey val="0"/>
              <c:showVal val="1"/>
              <c:showCatName val="0"/>
              <c:showSerName val="0"/>
              <c:showPercent val="0"/>
              <c:showBubbleSize val="0"/>
              <c:extLst>
                <c:ext xmlns:c15="http://schemas.microsoft.com/office/drawing/2012/chart" uri="{CE6537A1-D6FC-4f65-9D91-7224C49458BB}">
                  <c15:layout>
                    <c:manualLayout>
                      <c:w val="0.321288637353069"/>
                      <c:h val="0.0503184713375796"/>
                    </c:manualLayout>
                  </c15:layout>
                </c:ext>
              </c:extLst>
            </c:dLbl>
            <c:dLbl>
              <c:idx val="4"/>
              <c:layout>
                <c:manualLayout>
                  <c:x val="0.001875"/>
                  <c:y val="0"/>
                </c:manualLayout>
              </c:layout>
              <c:tx>
                <c:rich>
                  <a:bodyPr rot="0" spcFirstLastPara="0" vertOverflow="ellipsis" vert="horz" wrap="square" lIns="38100" tIns="19050" rIns="38100" bIns="19050" anchor="ctr" anchorCtr="1"/>
                  <a:lstStyle/>
                  <a:p>
                    <a:pPr>
                      <a:defRPr lang="en-US" sz="900" b="1" i="0" u="none" strike="noStrike" kern="1200" baseline="0">
                        <a:solidFill>
                          <a:sysClr val="windowText" lastClr="000000"/>
                        </a:solidFill>
                        <a:latin typeface="+mn-lt"/>
                        <a:ea typeface="+mn-ea"/>
                        <a:cs typeface="+mn-cs"/>
                      </a:defRPr>
                    </a:pPr>
                    <a:r>
                      <a:rPr>
                        <a:solidFill>
                          <a:sysClr val="windowText" lastClr="000000"/>
                        </a:solidFill>
                      </a:rPr>
                      <a:t>Rp2.251.335.223.743,41</a:t>
                    </a:r>
                    <a:endParaRPr>
                      <a:solidFill>
                        <a:sysClr val="windowText" lastClr="000000"/>
                      </a:solidFill>
                    </a:endParaRPr>
                  </a:p>
                </c:rich>
              </c:tx>
              <c:dLblPos val="inEnd"/>
              <c:showLegendKey val="0"/>
              <c:showVal val="1"/>
              <c:showCatName val="0"/>
              <c:showSerName val="0"/>
              <c:showPercent val="0"/>
              <c:showBubbleSize val="0"/>
              <c:extLst>
                <c:ext xmlns:c15="http://schemas.microsoft.com/office/drawing/2012/chart" uri="{CE6537A1-D6FC-4f65-9D91-7224C49458BB}">
                  <c15:layout>
                    <c:manualLayout>
                      <c:w val="0.29531272674503"/>
                      <c:h val="0.0450106157112527"/>
                    </c:manualLayout>
                  </c15:layout>
                </c:ext>
              </c:extLst>
            </c:dLbl>
            <c:spPr>
              <a:noFill/>
              <a:ln>
                <a:noFill/>
              </a:ln>
              <a:effectLst/>
            </c:spPr>
            <c:txPr>
              <a:bodyPr rot="0" spcFirstLastPara="0" vertOverflow="ellipsis" vert="horz" wrap="square" lIns="38100" tIns="19050" rIns="38100" bIns="19050" anchor="ctr" anchorCtr="1"/>
              <a:lstStyle/>
              <a:p>
                <a:pPr>
                  <a:defRPr lang="en-US"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"Rp"#.##0;\-"Rp"#.##0</c:formatCode>
                <c:ptCount val="5"/>
                <c:pt idx="0">
                  <c:v>1964148975798.55</c:v>
                </c:pt>
                <c:pt idx="1">
                  <c:v>2134010519503.41</c:v>
                </c:pt>
                <c:pt idx="2">
                  <c:v>2275090068586.9</c:v>
                </c:pt>
                <c:pt idx="3">
                  <c:v>2328432873686.19</c:v>
                </c:pt>
                <c:pt idx="4">
                  <c:v>2251335223743.41</c:v>
                </c:pt>
              </c:numCache>
            </c:numRef>
          </c:val>
        </c:ser>
        <c:ser>
          <c:idx val="1"/>
          <c:order val="1"/>
          <c:tx>
            <c:strRef>
              <c:f>Sheet1!#REF!</c:f>
              <c:strCache>
                <c:ptCount val="1"/>
                <c:pt idx="0">
                  <c:v/>
                </c:pt>
              </c:strCache>
            </c:strRef>
          </c:tx>
          <c:spPr>
            <a:solidFill>
              <a:schemeClr val="accent2">
                <a:alpha val="85000"/>
              </a:schemeClr>
            </a:solidFill>
            <a:ln w="9525" cap="flat" cmpd="sng" algn="ctr">
              <a:solidFill>
                <a:schemeClr val="lt1">
                  <a:alpha val="50000"/>
                </a:schemeClr>
              </a:solidFill>
              <a:round/>
            </a:ln>
            <a:effectLst/>
          </c:spPr>
          <c:invertIfNegative val="0"/>
          <c:dLbls>
            <c:delete val="1"/>
          </c:dLbls>
          <c:cat>
            <c:numRef>
              <c:f>Sheet1!$A$2:$A$6</c:f>
              <c:numCache>
                <c:formatCode>General</c:formatCode>
                <c:ptCount val="5"/>
                <c:pt idx="0">
                  <c:v>2016</c:v>
                </c:pt>
                <c:pt idx="1">
                  <c:v>2017</c:v>
                </c:pt>
                <c:pt idx="2">
                  <c:v>2018</c:v>
                </c:pt>
                <c:pt idx="3">
                  <c:v>2019</c:v>
                </c:pt>
                <c:pt idx="4">
                  <c:v>2020</c:v>
                </c:pt>
              </c:numCache>
            </c:numRef>
          </c:cat>
          <c:val>
            <c:numRef>
              <c:f>Sheet1!#REF!</c:f>
              <c:numCache>
                <c:formatCode>General</c:formatCode>
                <c:ptCount val="1"/>
                <c:pt idx="0">
                  <c:v>1</c:v>
                </c:pt>
              </c:numCache>
            </c:numRef>
          </c:val>
        </c:ser>
        <c:ser>
          <c:idx val="2"/>
          <c:order val="2"/>
          <c:tx>
            <c:strRef>
              <c:f>Sheet1!#REF!</c:f>
              <c:strCache>
                <c:ptCount val="1"/>
                <c:pt idx="0">
                  <c:v/>
                </c:pt>
              </c:strCache>
            </c:strRef>
          </c:tx>
          <c:spPr>
            <a:solidFill>
              <a:schemeClr val="accent3">
                <a:alpha val="85000"/>
              </a:schemeClr>
            </a:solidFill>
            <a:ln w="9525" cap="flat" cmpd="sng" algn="ctr">
              <a:solidFill>
                <a:schemeClr val="lt1">
                  <a:alpha val="50000"/>
                </a:schemeClr>
              </a:solidFill>
              <a:round/>
            </a:ln>
            <a:effectLst/>
          </c:spPr>
          <c:invertIfNegative val="0"/>
          <c:dLbls>
            <c:delete val="1"/>
          </c:dLbls>
          <c:cat>
            <c:numRef>
              <c:f>Sheet1!$A$2:$A$6</c:f>
              <c:numCache>
                <c:formatCode>General</c:formatCode>
                <c:ptCount val="5"/>
                <c:pt idx="0">
                  <c:v>2016</c:v>
                </c:pt>
                <c:pt idx="1">
                  <c:v>2017</c:v>
                </c:pt>
                <c:pt idx="2">
                  <c:v>2018</c:v>
                </c:pt>
                <c:pt idx="3">
                  <c:v>2019</c:v>
                </c:pt>
                <c:pt idx="4">
                  <c:v>2020</c:v>
                </c:pt>
              </c:numCache>
            </c:numRef>
          </c:cat>
          <c:val>
            <c:numRef>
              <c:f>Sheet1!#REF!</c:f>
              <c:numCache>
                <c:formatCode>General</c:formatCode>
                <c:ptCount val="1"/>
                <c:pt idx="0">
                  <c:v>1</c:v>
                </c:pt>
              </c:numCache>
            </c:numRef>
          </c:val>
        </c:ser>
        <c:dLbls>
          <c:showLegendKey val="0"/>
          <c:showVal val="1"/>
          <c:showCatName val="0"/>
          <c:showSerName val="0"/>
          <c:showPercent val="0"/>
          <c:showBubbleSize val="0"/>
        </c:dLbls>
        <c:gapWidth val="65"/>
        <c:axId val="54410624"/>
        <c:axId val="54445184"/>
      </c:barChart>
      <c:catAx>
        <c:axId val="544106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0"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p>
        </c:txPr>
        <c:crossAx val="54445184"/>
        <c:crosses val="autoZero"/>
        <c:auto val="1"/>
        <c:lblAlgn val="ctr"/>
        <c:lblOffset val="100"/>
        <c:noMultiLvlLbl val="0"/>
      </c:catAx>
      <c:valAx>
        <c:axId val="544451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quot;Rp&quot;#.##0;\-&quot;Rp&quot;#.##0"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54410624"/>
        <c:crosses val="autoZero"/>
        <c:crossBetween val="between"/>
      </c:valAx>
      <c:spPr>
        <a:noFill/>
        <a:ln>
          <a:noFill/>
        </a:ln>
        <a:effectLst/>
      </c:spPr>
    </c:plotArea>
    <c:legend>
      <c:legendPos val="b"/>
      <c:legendEntry>
        <c:idx val="1"/>
        <c:delete val="1"/>
      </c:legendEntry>
      <c:legendEntry>
        <c:idx val="2"/>
        <c:delete val="1"/>
      </c:legendEntry>
      <c:layout/>
      <c:overlay val="0"/>
      <c:spPr>
        <a:solidFill>
          <a:schemeClr val="lt1">
            <a:lumMod val="95000"/>
            <a:alpha val="39000"/>
          </a:schemeClr>
        </a:solidFill>
        <a:ln>
          <a:noFill/>
        </a:ln>
        <a:effectLst/>
      </c:spPr>
      <c:txPr>
        <a:bodyPr rot="0" spcFirstLastPara="0"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Realisasi</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0"/>
                  <c:y val="0.0211992731677771"/>
                </c:manualLayout>
              </c:layout>
              <c:tx>
                <c:rich>
                  <a:bodyPr rot="0" spcFirstLastPara="0" vertOverflow="ellipsis" vert="horz" wrap="square" lIns="38100" tIns="19050" rIns="38100" bIns="19050" anchor="ctr" anchorCtr="1"/>
                  <a:lstStyle/>
                  <a:p>
                    <a:pPr>
                      <a:defRPr lang="en-US" sz="900" b="1" i="0" u="none" strike="noStrike" kern="1200" baseline="0">
                        <a:solidFill>
                          <a:sysClr val="windowText" lastClr="000000"/>
                        </a:solidFill>
                        <a:latin typeface="+mn-lt"/>
                        <a:ea typeface="+mn-ea"/>
                        <a:cs typeface="+mn-cs"/>
                      </a:defRPr>
                    </a:pPr>
                    <a:r>
                      <a:rPr>
                        <a:solidFill>
                          <a:sysClr val="windowText" lastClr="000000"/>
                        </a:solidFill>
                      </a:rPr>
                      <a:t>Rp1.522.119.229.710,59,-</a:t>
                    </a:r>
                    <a:endParaRPr>
                      <a:solidFill>
                        <a:sysClr val="windowText" lastClr="000000"/>
                      </a:solidFill>
                    </a:endParaRPr>
                  </a:p>
                </c:rich>
              </c:tx>
              <c:dLblPos val="inEnd"/>
              <c:showLegendKey val="0"/>
              <c:showVal val="1"/>
              <c:showCatName val="0"/>
              <c:showSerName val="0"/>
              <c:showPercent val="0"/>
              <c:showBubbleSize val="0"/>
              <c:extLst>
                <c:ext xmlns:c15="http://schemas.microsoft.com/office/drawing/2012/chart" uri="{CE6537A1-D6FC-4f65-9D91-7224C49458BB}">
                  <c15:layout>
                    <c:manualLayout>
                      <c:w val="0.287831733483907"/>
                      <c:h val="0.0545124167171411"/>
                    </c:manualLayout>
                  </c15:layout>
                </c:ext>
              </c:extLst>
            </c:dLbl>
            <c:dLbl>
              <c:idx val="1"/>
              <c:layout/>
              <c:tx>
                <c:rich>
                  <a:bodyPr rot="0" spcFirstLastPara="0" vertOverflow="ellipsis" vert="horz" wrap="square" lIns="38100" tIns="19050" rIns="38100" bIns="19050" anchor="ctr" anchorCtr="1"/>
                  <a:lstStyle/>
                  <a:p>
                    <a:pPr>
                      <a:defRPr lang="en-US" sz="900" b="1" i="0" u="none" strike="noStrike" kern="1200" baseline="0">
                        <a:solidFill>
                          <a:sysClr val="windowText" lastClr="000000"/>
                        </a:solidFill>
                        <a:latin typeface="+mn-lt"/>
                        <a:ea typeface="+mn-ea"/>
                        <a:cs typeface="+mn-cs"/>
                      </a:defRPr>
                    </a:pPr>
                    <a:r>
                      <a:rPr>
                        <a:solidFill>
                          <a:sysClr val="windowText" lastClr="000000"/>
                        </a:solidFill>
                      </a:rPr>
                      <a:t>Rp1.626.923.373.074,36</a:t>
                    </a:r>
                    <a:endParaRPr>
                      <a:solidFill>
                        <a:sysClr val="windowText" lastClr="000000"/>
                      </a:solidFill>
                    </a:endParaRPr>
                  </a:p>
                </c:rich>
              </c:tx>
              <c:dLblPos val="inEnd"/>
              <c:showLegendKey val="0"/>
              <c:showVal val="1"/>
              <c:showCatName val="0"/>
              <c:showSerName val="0"/>
              <c:showPercent val="0"/>
              <c:showBubbleSize val="0"/>
              <c:extLst>
                <c:ext xmlns:c15="http://schemas.microsoft.com/office/drawing/2012/chart" uri="{CE6537A1-D6FC-4f65-9D91-7224C49458BB}">
                  <c15:layout>
                    <c:manualLayout>
                      <c:w val="0.318181818181818"/>
                      <c:h val="0.029678982434888"/>
                    </c:manualLayout>
                  </c15:layout>
                </c:ext>
              </c:extLst>
            </c:dLbl>
            <c:dLbl>
              <c:idx val="2"/>
              <c:layout/>
              <c:tx>
                <c:rich>
                  <a:bodyPr rot="0" spcFirstLastPara="0" vertOverflow="ellipsis" vert="horz" wrap="square" lIns="38100" tIns="19050" rIns="38100" bIns="19050" anchor="ctr" anchorCtr="1"/>
                  <a:lstStyle/>
                  <a:p>
                    <a:pPr>
                      <a:defRPr lang="en-US" sz="900" b="1" i="0" u="none" strike="noStrike" kern="1200" baseline="0">
                        <a:solidFill>
                          <a:sysClr val="windowText" lastClr="000000"/>
                        </a:solidFill>
                        <a:latin typeface="+mn-lt"/>
                        <a:ea typeface="+mn-ea"/>
                        <a:cs typeface="+mn-cs"/>
                      </a:defRPr>
                    </a:pPr>
                    <a:r>
                      <a:rPr>
                        <a:solidFill>
                          <a:sysClr val="windowText" lastClr="000000"/>
                        </a:solidFill>
                      </a:rPr>
                      <a:t>Rp1.797.677.158.644,93</a:t>
                    </a:r>
                    <a:endParaRPr>
                      <a:solidFill>
                        <a:sysClr val="windowText" lastClr="000000"/>
                      </a:solidFill>
                    </a:endParaRPr>
                  </a:p>
                </c:rich>
              </c:tx>
              <c:dLblPos val="inEnd"/>
              <c:showLegendKey val="0"/>
              <c:showVal val="1"/>
              <c:showCatName val="0"/>
              <c:showSerName val="0"/>
              <c:showPercent val="0"/>
              <c:showBubbleSize val="0"/>
              <c:extLst>
                <c:ext xmlns:c15="http://schemas.microsoft.com/office/drawing/2012/chart" uri="{CE6537A1-D6FC-4f65-9D91-7224C49458BB}">
                  <c15:layout>
                    <c:manualLayout>
                      <c:w val="0.284302653867871"/>
                      <c:h val="0.0436099333737129"/>
                    </c:manualLayout>
                  </c15:layout>
                </c:ext>
              </c:extLst>
            </c:dLbl>
            <c:dLbl>
              <c:idx val="3"/>
              <c:layout>
                <c:manualLayout>
                  <c:x val="-0.00635234330886505"/>
                  <c:y val="-0.0423985463355542"/>
                </c:manualLayout>
              </c:layout>
              <c:tx>
                <c:rich>
                  <a:bodyPr rot="0" spcFirstLastPara="0" vertOverflow="ellipsis" vert="horz" wrap="square" lIns="38100" tIns="19050" rIns="38100" bIns="19050" anchor="ctr" anchorCtr="1"/>
                  <a:lstStyle/>
                  <a:p>
                    <a:pPr>
                      <a:defRPr lang="en-US" sz="900" b="1" i="0" u="none" strike="noStrike" kern="1200" baseline="0">
                        <a:solidFill>
                          <a:sysClr val="windowText" lastClr="000000"/>
                        </a:solidFill>
                        <a:latin typeface="+mn-lt"/>
                        <a:ea typeface="+mn-ea"/>
                        <a:cs typeface="+mn-cs"/>
                      </a:defRPr>
                    </a:pPr>
                    <a:r>
                      <a:rPr>
                        <a:solidFill>
                          <a:sysClr val="windowText" lastClr="000000"/>
                        </a:solidFill>
                      </a:rPr>
                      <a:t>Rp1.872.933.990.718,00</a:t>
                    </a:r>
                    <a:endParaRPr>
                      <a:solidFill>
                        <a:sysClr val="windowText" lastClr="000000"/>
                      </a:solidFill>
                    </a:endParaRPr>
                  </a:p>
                </c:rich>
              </c:tx>
              <c:dLblPos val="inEnd"/>
              <c:showLegendKey val="0"/>
              <c:showVal val="1"/>
              <c:showCatName val="0"/>
              <c:showSerName val="0"/>
              <c:showPercent val="0"/>
              <c:showBubbleSize val="0"/>
              <c:extLst>
                <c:ext xmlns:c15="http://schemas.microsoft.com/office/drawing/2012/chart" uri="{CE6537A1-D6FC-4f65-9D91-7224C49458BB}">
                  <c15:layout>
                    <c:manualLayout>
                      <c:w val="0.346414455110107"/>
                      <c:h val="0.0603674540682415"/>
                    </c:manualLayout>
                  </c15:layout>
                </c:ext>
              </c:extLst>
            </c:dLbl>
            <c:dLbl>
              <c:idx val="4"/>
              <c:layout/>
              <c:tx>
                <c:rich>
                  <a:bodyPr rot="0" spcFirstLastPara="0" vertOverflow="ellipsis" vert="horz" wrap="square" lIns="38100" tIns="19050" rIns="38100" bIns="19050" anchor="ctr" anchorCtr="1"/>
                  <a:lstStyle/>
                  <a:p>
                    <a:pPr>
                      <a:defRPr lang="en-US" sz="900" b="1" i="0" u="none" strike="noStrike" kern="1200" baseline="0">
                        <a:solidFill>
                          <a:sysClr val="windowText" lastClr="000000"/>
                        </a:solidFill>
                        <a:latin typeface="+mn-lt"/>
                        <a:ea typeface="+mn-ea"/>
                        <a:cs typeface="+mn-cs"/>
                      </a:defRPr>
                    </a:pPr>
                    <a:r>
                      <a:rPr>
                        <a:solidFill>
                          <a:sysClr val="windowText" lastClr="000000"/>
                        </a:solidFill>
                      </a:rPr>
                      <a:t>Rp1.809.807.023.047,00</a:t>
                    </a:r>
                    <a:endParaRPr>
                      <a:solidFill>
                        <a:sysClr val="windowText" lastClr="000000"/>
                      </a:solidFill>
                    </a:endParaRPr>
                  </a:p>
                </c:rich>
              </c:tx>
              <c:dLblPos val="inEnd"/>
              <c:showLegendKey val="0"/>
              <c:showVal val="1"/>
              <c:showCatName val="0"/>
              <c:showSerName val="0"/>
              <c:showPercent val="0"/>
              <c:showBubbleSize val="0"/>
              <c:extLst>
                <c:ext xmlns:c15="http://schemas.microsoft.com/office/drawing/2012/chart" uri="{CE6537A1-D6FC-4f65-9D91-7224C49458BB}">
                  <c15:layout>
                    <c:manualLayout>
                      <c:w val="0.289243365330322"/>
                      <c:h val="0.0391681809004644"/>
                    </c:manualLayout>
                  </c15:layout>
                </c:ext>
              </c:extLst>
            </c:dLbl>
            <c:spPr>
              <a:noFill/>
              <a:ln>
                <a:noFill/>
              </a:ln>
              <a:effectLst/>
            </c:spPr>
            <c:txPr>
              <a:bodyPr rot="0" spcFirstLastPara="0" vertOverflow="ellipsis" vert="horz" wrap="square" lIns="38100" tIns="19050" rIns="38100" bIns="19050" anchor="ctr" anchorCtr="1"/>
              <a:lstStyle/>
              <a:p>
                <a:pPr>
                  <a:defRPr lang="en-US" sz="900" b="1"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numRef>
              <c:extLst>
                <c:ext xmlns:c15="http://schemas.microsoft.com/office/drawing/2012/chart" uri="{02D57815-91ED-43cb-92C2-25804820EDAC}">
                  <c15:fullRef>
                    <c15:sqref>Sheet1!$A$2:$A$7</c15:sqref>
                  </c15:fullRef>
                </c:ext>
              </c:extLst>
              <c:f>Sheet1!$A$3:$A$7</c:f>
              <c:numCache>
                <c:formatCode>General</c:formatCode>
                <c:ptCount val="5"/>
                <c:pt idx="0">
                  <c:v>2016</c:v>
                </c:pt>
                <c:pt idx="1">
                  <c:v>2017</c:v>
                </c:pt>
                <c:pt idx="2">
                  <c:v>2018</c:v>
                </c:pt>
                <c:pt idx="3">
                  <c:v>2019</c:v>
                </c:pt>
                <c:pt idx="4">
                  <c:v>2020</c:v>
                </c:pt>
              </c:numCache>
            </c:numRef>
          </c:cat>
          <c:val>
            <c:numRef>
              <c:extLst>
                <c:ext xmlns:c15="http://schemas.microsoft.com/office/drawing/2012/chart" uri="{02D57815-91ED-43cb-92C2-25804820EDAC}">
                  <c15:fullRef>
                    <c15:sqref>Sheet1!$B$2:$B$7</c15:sqref>
                  </c15:fullRef>
                </c:ext>
              </c:extLst>
              <c:f>Sheet1!$B$3:$B$7</c:f>
              <c:numCache>
                <c:formatCode>"Rp"#.##0;\-"Rp"#.##0</c:formatCode>
                <c:ptCount val="5"/>
                <c:pt idx="0">
                  <c:v>1522119229710</c:v>
                </c:pt>
                <c:pt idx="1">
                  <c:v>1626923373074</c:v>
                </c:pt>
                <c:pt idx="2">
                  <c:v>1797677158644</c:v>
                </c:pt>
                <c:pt idx="3">
                  <c:v>1872933990718</c:v>
                </c:pt>
                <c:pt idx="4">
                  <c:v>1809807023047</c:v>
                </c:pt>
              </c:numCache>
            </c:numRef>
          </c:val>
        </c:ser>
        <c:ser>
          <c:idx val="1"/>
          <c:order val="1"/>
          <c:tx>
            <c:strRef>
              <c:f>Sheet1!#REF!</c:f>
              <c:strCache>
                <c:ptCount val="1"/>
                <c:pt idx="0">
                  <c:v/>
                </c:pt>
              </c:strCache>
            </c:strRef>
          </c:tx>
          <c:spPr>
            <a:solidFill>
              <a:schemeClr val="accent2">
                <a:alpha val="85000"/>
              </a:schemeClr>
            </a:solidFill>
            <a:ln w="9525" cap="flat" cmpd="sng" algn="ctr">
              <a:solidFill>
                <a:schemeClr val="lt1">
                  <a:alpha val="50000"/>
                </a:schemeClr>
              </a:solidFill>
              <a:round/>
            </a:ln>
            <a:effectLst/>
          </c:spPr>
          <c:invertIfNegative val="0"/>
          <c:dLbls>
            <c:delete val="1"/>
          </c:dLbls>
          <c:cat>
            <c:numRef>
              <c:extLst>
                <c:ext xmlns:c15="http://schemas.microsoft.com/office/drawing/2012/chart" uri="{02D57815-91ED-43cb-92C2-25804820EDAC}">
                  <c15:fullRef>
                    <c15:sqref>Sheet1!$A$2:$A$7</c15:sqref>
                  </c15:fullRef>
                </c:ext>
              </c:extLst>
              <c:f>Sheet1!$A$3:$A$7</c:f>
              <c:numCache>
                <c:formatCode>General</c:formatCode>
                <c:ptCount val="5"/>
                <c:pt idx="0">
                  <c:v>2016</c:v>
                </c:pt>
                <c:pt idx="1">
                  <c:v>2017</c:v>
                </c:pt>
                <c:pt idx="2">
                  <c:v>2018</c:v>
                </c:pt>
                <c:pt idx="3">
                  <c:v>2019</c:v>
                </c:pt>
                <c:pt idx="4">
                  <c:v>2020</c:v>
                </c:pt>
              </c:numCache>
            </c:numRef>
          </c:cat>
        </c:ser>
        <c:ser>
          <c:idx val="2"/>
          <c:order val="2"/>
          <c:tx>
            <c:strRef>
              <c:f>Sheet1!#REF!</c:f>
              <c:strCache>
                <c:ptCount val="1"/>
                <c:pt idx="0">
                  <c:v/>
                </c:pt>
              </c:strCache>
            </c:strRef>
          </c:tx>
          <c:spPr>
            <a:solidFill>
              <a:schemeClr val="accent3">
                <a:alpha val="85000"/>
              </a:schemeClr>
            </a:solidFill>
            <a:ln w="9525" cap="flat" cmpd="sng" algn="ctr">
              <a:solidFill>
                <a:schemeClr val="lt1">
                  <a:alpha val="50000"/>
                </a:schemeClr>
              </a:solidFill>
              <a:round/>
            </a:ln>
            <a:effectLst/>
          </c:spPr>
          <c:invertIfNegative val="0"/>
          <c:dLbls>
            <c:delete val="1"/>
          </c:dLbls>
          <c:cat>
            <c:numRef>
              <c:extLst>
                <c:ext xmlns:c15="http://schemas.microsoft.com/office/drawing/2012/chart" uri="{02D57815-91ED-43cb-92C2-25804820EDAC}">
                  <c15:fullRef>
                    <c15:sqref>Sheet1!$A$2:$A$7</c15:sqref>
                  </c15:fullRef>
                </c:ext>
              </c:extLst>
              <c:f>Sheet1!$A$3:$A$7</c:f>
              <c:numCache>
                <c:formatCode>General</c:formatCode>
                <c:ptCount val="5"/>
                <c:pt idx="0">
                  <c:v>2016</c:v>
                </c:pt>
                <c:pt idx="1">
                  <c:v>2017</c:v>
                </c:pt>
                <c:pt idx="2">
                  <c:v>2018</c:v>
                </c:pt>
                <c:pt idx="3">
                  <c:v>2019</c:v>
                </c:pt>
                <c:pt idx="4">
                  <c:v>2020</c:v>
                </c:pt>
              </c:numCache>
            </c:numRef>
          </c:cat>
        </c:ser>
        <c:dLbls>
          <c:showLegendKey val="0"/>
          <c:showVal val="1"/>
          <c:showCatName val="0"/>
          <c:showSerName val="0"/>
          <c:showPercent val="0"/>
          <c:showBubbleSize val="0"/>
        </c:dLbls>
        <c:gapWidth val="65"/>
        <c:axId val="74298496"/>
        <c:axId val="74300032"/>
      </c:barChart>
      <c:catAx>
        <c:axId val="742984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0"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p>
        </c:txPr>
        <c:crossAx val="74300032"/>
        <c:crosses val="autoZero"/>
        <c:auto val="1"/>
        <c:lblAlgn val="ctr"/>
        <c:lblOffset val="100"/>
        <c:noMultiLvlLbl val="0"/>
      </c:catAx>
      <c:valAx>
        <c:axId val="743000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quot;Rp&quot;#.##0;\-&quot;Rp&quot;#.##0"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74298496"/>
        <c:crosses val="autoZero"/>
        <c:crossBetween val="between"/>
      </c:valAx>
      <c:spPr>
        <a:noFill/>
        <a:ln>
          <a:noFill/>
        </a:ln>
        <a:effectLst/>
      </c:spPr>
    </c:plotArea>
    <c:legend>
      <c:legendPos val="b"/>
      <c:legendEntry>
        <c:idx val="1"/>
        <c:delete val="1"/>
      </c:legendEntry>
      <c:legendEntry>
        <c:idx val="2"/>
        <c:delete val="1"/>
      </c:legendEntry>
      <c:layout/>
      <c:overlay val="0"/>
      <c:spPr>
        <a:solidFill>
          <a:schemeClr val="lt1">
            <a:lumMod val="95000"/>
            <a:alpha val="39000"/>
          </a:schemeClr>
        </a:solidFill>
        <a:ln>
          <a:noFill/>
        </a:ln>
        <a:effectLst/>
      </c:spPr>
      <c:txPr>
        <a:bodyPr rot="0" spcFirstLastPara="0"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prstDash val="solid"/>
      <a:round/>
    </a:ln>
    <a:effectLst/>
  </c:spPr>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B28F62-548C-4B19-A0DD-BC9C6676D8D6}">
  <ds:schemaRefs/>
</ds:datastoreItem>
</file>

<file path=docProps/app.xml><?xml version="1.0" encoding="utf-8"?>
<Properties xmlns="http://schemas.openxmlformats.org/officeDocument/2006/extended-properties" xmlns:vt="http://schemas.openxmlformats.org/officeDocument/2006/docPropsVTypes">
  <Template>Normal.dotm</Template>
  <Company>PROVINSI SUMATERA BARAT</Company>
  <Pages>85</Pages>
  <Words>18096</Words>
  <Characters>103150</Characters>
  <Lines>859</Lines>
  <Paragraphs>242</Paragraphs>
  <TotalTime>392</TotalTime>
  <ScaleCrop>false</ScaleCrop>
  <LinksUpToDate>false</LinksUpToDate>
  <CharactersWithSpaces>121004</CharactersWithSpaces>
  <Application>WPS Office_11.2.0.10017_F1E327BC-269C-435d-A152-05C5408002CA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2021-01-28T08:11:00Z</dcterms:created>
  <dc:creator>SEKRETARIAT DPKD PROVINSI SUMATERA BARAT</dc:creator>
  <cp:lastModifiedBy>pc</cp:lastModifiedBy>
  <cp:lastPrinted>2021-01-29T05:48:00Z</cp:lastPrinted>
  <dcterms:modified xsi:type="dcterms:W3CDTF">2021-03-29T23:09:23Z</dcterms:modified>
  <dc:subject>(LAKIP 2012)</dc:subject>
  <dc:title>LAPORAN AKUNTABILITAS  KINERJA INSTANSI PEMERINTAH 2012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1033-11.2.0.10017</vt:lpwstr>
  </property>
</Properties>
</file>